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6E" w:rsidRDefault="0033056E">
      <w:pPr>
        <w:keepNext/>
        <w:jc w:val="center"/>
        <w:outlineLvl w:val="0"/>
        <w:rPr>
          <w:b/>
          <w:sz w:val="28"/>
        </w:rPr>
      </w:pPr>
      <w:bookmarkStart w:id="0" w:name="_GoBack"/>
      <w:bookmarkEnd w:id="0"/>
    </w:p>
    <w:p w:rsidR="0033056E" w:rsidRDefault="000917B8">
      <w:pPr>
        <w:keepNext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АДМИНИСТРАЦИЯ  ГОРОДА  ИСКИТИМА  </w:t>
      </w:r>
    </w:p>
    <w:p w:rsidR="0033056E" w:rsidRDefault="000917B8">
      <w:pPr>
        <w:keepNext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 НОВОСИБИРСКОЙ  ОБЛАСТИ</w:t>
      </w:r>
    </w:p>
    <w:p w:rsidR="0033056E" w:rsidRDefault="000917B8">
      <w:pPr>
        <w:keepNext/>
        <w:spacing w:before="120"/>
        <w:jc w:val="center"/>
        <w:outlineLvl w:val="1"/>
        <w:rPr>
          <w:b/>
          <w:spacing w:val="20"/>
          <w:sz w:val="36"/>
        </w:rPr>
      </w:pPr>
      <w:r>
        <w:rPr>
          <w:b/>
          <w:spacing w:val="20"/>
          <w:sz w:val="36"/>
        </w:rPr>
        <w:t>ПОСТАНОВЛЕНИЕ</w:t>
      </w:r>
    </w:p>
    <w:p w:rsidR="0033056E" w:rsidRDefault="0033056E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33056E" w:rsidRDefault="000917B8">
      <w:pPr>
        <w:spacing w:after="200" w:line="276" w:lineRule="auto"/>
        <w:jc w:val="center"/>
        <w:rPr>
          <w:rFonts w:eastAsiaTheme="minorHAnsi"/>
          <w:color w:val="D9D9D9" w:themeColor="background1" w:themeShade="D9"/>
          <w:sz w:val="28"/>
          <w:szCs w:val="28"/>
          <w:lang w:eastAsia="en-US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298DA97B" wp14:editId="3AABA8A7">
            <wp:simplePos x="0" y="0"/>
            <wp:positionH relativeFrom="character">
              <wp:posOffset>-723900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HAnsi"/>
          <w:color w:val="D9D9D9" w:themeColor="background1" w:themeShade="D9"/>
          <w:sz w:val="28"/>
          <w:szCs w:val="28"/>
          <w:lang w:eastAsia="en-US"/>
        </w:rPr>
        <w:t xml:space="preserve">  </w:t>
      </w:r>
    </w:p>
    <w:p w:rsidR="0033056E" w:rsidRDefault="000917B8">
      <w:pPr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г. </w:t>
      </w:r>
      <w:proofErr w:type="spellStart"/>
      <w:r>
        <w:rPr>
          <w:rFonts w:eastAsiaTheme="minorHAnsi"/>
          <w:sz w:val="24"/>
          <w:szCs w:val="24"/>
          <w:lang w:eastAsia="en-US"/>
        </w:rPr>
        <w:t>Искитим</w:t>
      </w:r>
      <w:proofErr w:type="spellEnd"/>
    </w:p>
    <w:p w:rsidR="0033056E" w:rsidRDefault="0033056E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33056E" w:rsidRDefault="000917B8">
      <w:pPr>
        <w:spacing w:line="276" w:lineRule="auto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Прогнозе социально-экономического развития города </w:t>
      </w:r>
      <w:proofErr w:type="spellStart"/>
      <w:r>
        <w:rPr>
          <w:rFonts w:eastAsiaTheme="minorHAnsi"/>
          <w:sz w:val="28"/>
          <w:szCs w:val="28"/>
          <w:lang w:eastAsia="en-US"/>
        </w:rPr>
        <w:t>Искитима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Новосибирской области на 2026 год и плановый период 2027 и 2028 годов</w:t>
      </w:r>
    </w:p>
    <w:p w:rsidR="0033056E" w:rsidRDefault="0033056E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3056E" w:rsidRDefault="000917B8">
      <w:pPr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В соответствии со статьей 173 Бюджетного кодекса Российской Федерации, Федеральным законом от 28.06.2014 № 172-ФЗ «О стратегическом планировании в Российской Федерации», постановлением администрации города </w:t>
      </w:r>
      <w:proofErr w:type="spellStart"/>
      <w:r>
        <w:rPr>
          <w:sz w:val="28"/>
          <w:szCs w:val="24"/>
        </w:rPr>
        <w:t>Искитима</w:t>
      </w:r>
      <w:proofErr w:type="spellEnd"/>
      <w:r>
        <w:rPr>
          <w:sz w:val="28"/>
          <w:szCs w:val="24"/>
        </w:rPr>
        <w:t xml:space="preserve"> Новосибирской области от 14.08.2015 № 1548 «Об утверждении положения о документах стратегического планирования города </w:t>
      </w:r>
      <w:proofErr w:type="spellStart"/>
      <w:r>
        <w:rPr>
          <w:sz w:val="28"/>
          <w:szCs w:val="24"/>
        </w:rPr>
        <w:t>Искитима</w:t>
      </w:r>
      <w:proofErr w:type="spellEnd"/>
      <w:r>
        <w:rPr>
          <w:sz w:val="28"/>
          <w:szCs w:val="24"/>
        </w:rPr>
        <w:t xml:space="preserve"> Новосибирской области», администрация города </w:t>
      </w:r>
      <w:proofErr w:type="spellStart"/>
      <w:r>
        <w:rPr>
          <w:sz w:val="28"/>
          <w:szCs w:val="24"/>
        </w:rPr>
        <w:t>Искитима</w:t>
      </w:r>
      <w:proofErr w:type="spellEnd"/>
      <w:r>
        <w:rPr>
          <w:sz w:val="28"/>
          <w:szCs w:val="24"/>
        </w:rPr>
        <w:t xml:space="preserve"> Новосибирской области</w:t>
      </w:r>
    </w:p>
    <w:p w:rsidR="0033056E" w:rsidRDefault="0033056E">
      <w:pPr>
        <w:jc w:val="both"/>
        <w:rPr>
          <w:sz w:val="28"/>
          <w:szCs w:val="24"/>
        </w:rPr>
      </w:pPr>
    </w:p>
    <w:p w:rsidR="0033056E" w:rsidRDefault="000917B8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ПОСТАНОВЛЯЕТ:</w:t>
      </w:r>
    </w:p>
    <w:p w:rsidR="0033056E" w:rsidRDefault="0033056E">
      <w:pPr>
        <w:jc w:val="both"/>
        <w:rPr>
          <w:sz w:val="28"/>
          <w:szCs w:val="24"/>
        </w:rPr>
      </w:pPr>
    </w:p>
    <w:p w:rsidR="0033056E" w:rsidRDefault="000917B8">
      <w:pPr>
        <w:numPr>
          <w:ilvl w:val="0"/>
          <w:numId w:val="14"/>
        </w:numPr>
        <w:tabs>
          <w:tab w:val="left" w:pos="851"/>
          <w:tab w:val="left" w:pos="993"/>
        </w:tabs>
        <w:spacing w:after="200" w:line="276" w:lineRule="auto"/>
        <w:ind w:left="0" w:firstLine="709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Одобрить прилагаемый Прогноз социально-экономического развития города </w:t>
      </w:r>
      <w:proofErr w:type="spellStart"/>
      <w:r>
        <w:rPr>
          <w:sz w:val="28"/>
          <w:szCs w:val="24"/>
        </w:rPr>
        <w:t>Искитима</w:t>
      </w:r>
      <w:proofErr w:type="spellEnd"/>
      <w:r>
        <w:rPr>
          <w:sz w:val="28"/>
          <w:szCs w:val="24"/>
        </w:rPr>
        <w:t xml:space="preserve"> Новосибирской области на 2026 год и плановый период 2027 и 2028 годов.</w:t>
      </w:r>
    </w:p>
    <w:p w:rsidR="0033056E" w:rsidRDefault="000917B8">
      <w:pPr>
        <w:numPr>
          <w:ilvl w:val="0"/>
          <w:numId w:val="14"/>
        </w:numPr>
        <w:tabs>
          <w:tab w:val="left" w:pos="851"/>
          <w:tab w:val="left" w:pos="993"/>
        </w:tabs>
        <w:spacing w:after="200" w:line="276" w:lineRule="auto"/>
        <w:ind w:left="0" w:firstLine="709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Опубликовать настоящее постановление в газете «</w:t>
      </w:r>
      <w:proofErr w:type="spellStart"/>
      <w:r>
        <w:rPr>
          <w:sz w:val="28"/>
          <w:szCs w:val="24"/>
        </w:rPr>
        <w:t>Искитимские</w:t>
      </w:r>
      <w:proofErr w:type="spellEnd"/>
      <w:r>
        <w:rPr>
          <w:sz w:val="28"/>
          <w:szCs w:val="24"/>
        </w:rPr>
        <w:t xml:space="preserve">  ведомости» и на официальном сайте администрации города </w:t>
      </w:r>
      <w:proofErr w:type="spellStart"/>
      <w:r>
        <w:rPr>
          <w:sz w:val="28"/>
          <w:szCs w:val="24"/>
        </w:rPr>
        <w:t>Искитима</w:t>
      </w:r>
      <w:proofErr w:type="spellEnd"/>
      <w:r>
        <w:rPr>
          <w:sz w:val="28"/>
          <w:szCs w:val="24"/>
        </w:rPr>
        <w:t xml:space="preserve"> Новосибирской области.</w:t>
      </w:r>
    </w:p>
    <w:p w:rsidR="0033056E" w:rsidRDefault="0033056E">
      <w:pPr>
        <w:jc w:val="both"/>
        <w:rPr>
          <w:sz w:val="28"/>
          <w:szCs w:val="28"/>
        </w:rPr>
      </w:pPr>
    </w:p>
    <w:p w:rsidR="0033056E" w:rsidRDefault="0033056E">
      <w:pPr>
        <w:jc w:val="both"/>
        <w:rPr>
          <w:sz w:val="28"/>
          <w:szCs w:val="28"/>
        </w:rPr>
      </w:pPr>
    </w:p>
    <w:p w:rsidR="0033056E" w:rsidRDefault="000917B8">
      <w:pPr>
        <w:rPr>
          <w:sz w:val="28"/>
        </w:rPr>
      </w:pPr>
      <w:r>
        <w:rPr>
          <w:sz w:val="28"/>
        </w:rPr>
        <w:t xml:space="preserve">Глава города </w:t>
      </w:r>
      <w:proofErr w:type="spellStart"/>
      <w:r>
        <w:rPr>
          <w:sz w:val="28"/>
        </w:rPr>
        <w:t>Искитима</w:t>
      </w:r>
      <w:proofErr w:type="spellEnd"/>
      <w:r>
        <w:rPr>
          <w:sz w:val="28"/>
        </w:rPr>
        <w:t xml:space="preserve">                                                                    С.В. </w:t>
      </w:r>
      <w:proofErr w:type="spellStart"/>
      <w:r>
        <w:rPr>
          <w:sz w:val="28"/>
        </w:rPr>
        <w:t>Завражин</w:t>
      </w:r>
      <w:proofErr w:type="spellEnd"/>
    </w:p>
    <w:p w:rsidR="0033056E" w:rsidRDefault="000917B8">
      <w:pPr>
        <w:ind w:left="2880" w:firstLine="720"/>
        <w:rPr>
          <w:color w:val="F2F2F2" w:themeColor="background1" w:themeShade="F2"/>
          <w:sz w:val="28"/>
        </w:rPr>
      </w:pPr>
      <w:r>
        <w:rPr>
          <w:color w:val="F2F2F2" w:themeColor="background1" w:themeShade="F2"/>
          <w:sz w:val="28"/>
        </w:rPr>
        <w:t xml:space="preserve">  </w:t>
      </w:r>
    </w:p>
    <w:p w:rsidR="0033056E" w:rsidRDefault="0033056E">
      <w:pPr>
        <w:rPr>
          <w:sz w:val="28"/>
        </w:rPr>
      </w:pPr>
    </w:p>
    <w:p w:rsidR="0033056E" w:rsidRDefault="0033056E">
      <w:pPr>
        <w:rPr>
          <w:sz w:val="28"/>
        </w:rPr>
      </w:pPr>
    </w:p>
    <w:p w:rsidR="0033056E" w:rsidRDefault="0033056E">
      <w:pPr>
        <w:ind w:firstLine="720"/>
        <w:jc w:val="both"/>
        <w:rPr>
          <w:sz w:val="28"/>
        </w:rPr>
      </w:pPr>
    </w:p>
    <w:p w:rsidR="0033056E" w:rsidRDefault="000917B8">
      <w:pPr>
        <w:rPr>
          <w:color w:val="C00000"/>
          <w:sz w:val="28"/>
        </w:rPr>
      </w:pPr>
      <w:r>
        <w:br w:type="page"/>
      </w:r>
    </w:p>
    <w:p w:rsidR="0033056E" w:rsidRDefault="000917B8">
      <w:pPr>
        <w:ind w:left="6096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Одобрен</w:t>
      </w:r>
      <w:proofErr w:type="gramEnd"/>
      <w:r>
        <w:rPr>
          <w:sz w:val="24"/>
          <w:szCs w:val="24"/>
        </w:rPr>
        <w:t xml:space="preserve"> постановлением </w:t>
      </w:r>
    </w:p>
    <w:p w:rsidR="0033056E" w:rsidRDefault="000917B8">
      <w:pPr>
        <w:ind w:left="6096"/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</w:t>
      </w:r>
      <w:proofErr w:type="spellStart"/>
      <w:r>
        <w:rPr>
          <w:sz w:val="24"/>
          <w:szCs w:val="24"/>
        </w:rPr>
        <w:t>Искитима</w:t>
      </w:r>
      <w:proofErr w:type="spellEnd"/>
    </w:p>
    <w:p w:rsidR="0033056E" w:rsidRDefault="000917B8">
      <w:pPr>
        <w:ind w:left="6096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33056E" w:rsidRDefault="000917B8">
      <w:pPr>
        <w:ind w:left="6096"/>
        <w:rPr>
          <w:sz w:val="24"/>
          <w:szCs w:val="24"/>
        </w:rPr>
      </w:pPr>
      <w:r>
        <w:rPr>
          <w:sz w:val="24"/>
          <w:szCs w:val="24"/>
        </w:rPr>
        <w:t>От 14.11.2025 № 1993</w:t>
      </w:r>
    </w:p>
    <w:p w:rsidR="0033056E" w:rsidRDefault="0033056E">
      <w:pPr>
        <w:rPr>
          <w:sz w:val="28"/>
        </w:rPr>
      </w:pPr>
    </w:p>
    <w:p w:rsidR="0033056E" w:rsidRDefault="0033056E">
      <w:pPr>
        <w:jc w:val="center"/>
        <w:rPr>
          <w:sz w:val="28"/>
        </w:rPr>
      </w:pPr>
    </w:p>
    <w:p w:rsidR="0033056E" w:rsidRDefault="0033056E">
      <w:pPr>
        <w:jc w:val="center"/>
        <w:rPr>
          <w:sz w:val="28"/>
        </w:rPr>
      </w:pPr>
    </w:p>
    <w:p w:rsidR="0033056E" w:rsidRDefault="000917B8">
      <w:pPr>
        <w:jc w:val="center"/>
        <w:rPr>
          <w:sz w:val="28"/>
        </w:rPr>
      </w:pPr>
      <w:r>
        <w:rPr>
          <w:sz w:val="28"/>
        </w:rPr>
        <w:t>Прогноз</w:t>
      </w:r>
    </w:p>
    <w:p w:rsidR="0033056E" w:rsidRDefault="000917B8">
      <w:pPr>
        <w:jc w:val="center"/>
        <w:rPr>
          <w:sz w:val="28"/>
        </w:rPr>
      </w:pPr>
      <w:r>
        <w:rPr>
          <w:sz w:val="28"/>
        </w:rPr>
        <w:t xml:space="preserve">социально-экономического развития города  </w:t>
      </w:r>
      <w:proofErr w:type="spellStart"/>
      <w:r>
        <w:rPr>
          <w:sz w:val="28"/>
        </w:rPr>
        <w:t>Искитима</w:t>
      </w:r>
      <w:proofErr w:type="spellEnd"/>
      <w:r>
        <w:rPr>
          <w:sz w:val="28"/>
        </w:rPr>
        <w:t xml:space="preserve"> Новосибирской области на 2026 год и плановый период 2027 и 2028 годов</w:t>
      </w:r>
    </w:p>
    <w:p w:rsidR="0033056E" w:rsidRDefault="0033056E">
      <w:pPr>
        <w:rPr>
          <w:color w:val="C00000"/>
          <w:sz w:val="28"/>
        </w:rPr>
      </w:pP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 на средне-срочный период 2026–2028 годов (далее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 xml:space="preserve">рогноз) является документом стратегического планирования, который определяет направления и ожидаемые результаты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соответствующем периоде. </w:t>
      </w:r>
      <w:proofErr w:type="gramStart"/>
      <w:r>
        <w:rPr>
          <w:sz w:val="28"/>
          <w:szCs w:val="28"/>
        </w:rPr>
        <w:t xml:space="preserve">Прогноз разработан для целей бюджетного планирования в соответствии с приоритетами и целевыми индикаторами социально-экономического развития, сформулированными в Стратегии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на период до 2030 года, утвержденной Решением Совета депутатов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 от  26.02.2020  № 314, на основании анализа итогов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за 2024 год, оценки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2025 году.</w:t>
      </w:r>
      <w:proofErr w:type="gramEnd"/>
    </w:p>
    <w:p w:rsidR="0033056E" w:rsidRDefault="000917B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подготовке прогноза были учтены приоритеты и основные параметры прогноза социально-экономического развития Новосибирской области на 2026 год и плановый период 2027 и 2028 годов, рассмотренные и одобренные на заседании Правительства Новосибирской области, послание Президента Российской Федерации Федеральному Собранию от 29.02.2024, Указ Президента Российской Федерации от 09.05.2017 № 203 «О стратегии развития информационного общества в Российской Федерации на 2017 – 2030 годы», Указ</w:t>
      </w:r>
      <w:proofErr w:type="gramEnd"/>
      <w:r>
        <w:rPr>
          <w:sz w:val="28"/>
          <w:szCs w:val="28"/>
        </w:rPr>
        <w:t xml:space="preserve"> Президента Российской Федерации от 07.05.2024 № 309 «О национальных целях развития Российской Федерации на период до 2030 года и на перспективу до 2036 года».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разработан для целей бюджетного планирования в составе трех основных вариантов – консервативного, целевого и инновационного сценария, в зависимости от степени реализации факторов, влияющих на развитие экономики и социальной сферы в прогнозном периоде.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Консервативный сценарий (1 вариант) - предполагает консервативное развитие, сдержанную инвестиционную политику частных компаний при относительно слабом росте потребительского спроса.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Целевой (2 вариант) - предполагает оживление и рост в экономике при не ухудшающихся внешних условиях, создание необходимых условий для инновационного развития, ускоренная реализация национальных проектов, крупных инфраструктурных проектов на территории города.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Инновационный (3 вариант) - характеризуется, с одной стороны, ожиданиями позитивных изменений во внешней среде, с другой - </w:t>
      </w:r>
      <w:r>
        <w:rPr>
          <w:sz w:val="28"/>
          <w:szCs w:val="28"/>
        </w:rPr>
        <w:lastRenderedPageBreak/>
        <w:t>формированием внутренних условий для опережающего экономического роста, ускоренном инновационном развитии отраслей-лидеров.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Различия между вариантами прогноза связаны с динамикой факторов экономического роста, зависящих, в том числе от успешности мер структурной экономической политики.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Оценка достигнутого уровня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за 2024 год.</w:t>
      </w:r>
    </w:p>
    <w:p w:rsidR="0033056E" w:rsidRDefault="000917B8">
      <w:pPr>
        <w:ind w:firstLine="709"/>
        <w:jc w:val="both"/>
        <w:rPr>
          <w:iCs/>
          <w:color w:val="C00000"/>
          <w:sz w:val="28"/>
          <w:szCs w:val="28"/>
        </w:rPr>
      </w:pPr>
      <w:r>
        <w:rPr>
          <w:sz w:val="28"/>
          <w:szCs w:val="28"/>
        </w:rPr>
        <w:t xml:space="preserve">Демографическая ситуация в городе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в январе – декабре 2024 года характеризовалась естественной убылью населения. </w:t>
      </w:r>
      <w:r>
        <w:rPr>
          <w:iCs/>
          <w:sz w:val="28"/>
          <w:szCs w:val="28"/>
        </w:rPr>
        <w:t xml:space="preserve">Уровень рождаемости по городу </w:t>
      </w:r>
      <w:proofErr w:type="spellStart"/>
      <w:r>
        <w:rPr>
          <w:iCs/>
          <w:sz w:val="28"/>
          <w:szCs w:val="28"/>
        </w:rPr>
        <w:t>Искитиму</w:t>
      </w:r>
      <w:proofErr w:type="spellEnd"/>
      <w:r>
        <w:rPr>
          <w:iCs/>
          <w:sz w:val="28"/>
          <w:szCs w:val="28"/>
        </w:rPr>
        <w:t xml:space="preserve"> на 01.01.2025 года составил – 515 детей, что выше уровня рождаемости за 2023 год на - 3 ребенка (в 2023 году родилось - 512 детей). Продолжает оставаться высокой смертность населения – 977 человек (2023 год – 876 человек). Естественная убыль составила 462 человека (2023 год – 364 чел.).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>
        <w:rPr>
          <w:rStyle w:val="aa"/>
          <w:rFonts w:eastAsia="Calibri"/>
          <w:i w:val="0"/>
          <w:sz w:val="28"/>
        </w:rPr>
        <w:t xml:space="preserve">На фоне изменения численности населения, в результате естественного движения населения, для города </w:t>
      </w:r>
      <w:proofErr w:type="spellStart"/>
      <w:r>
        <w:rPr>
          <w:rStyle w:val="aa"/>
          <w:rFonts w:eastAsia="Calibri"/>
          <w:i w:val="0"/>
          <w:sz w:val="28"/>
        </w:rPr>
        <w:t>Искитима</w:t>
      </w:r>
      <w:proofErr w:type="spellEnd"/>
      <w:r>
        <w:rPr>
          <w:rStyle w:val="aa"/>
          <w:rFonts w:eastAsia="Calibri"/>
          <w:i w:val="0"/>
          <w:sz w:val="28"/>
        </w:rPr>
        <w:t xml:space="preserve"> возрастает значение миграции населения. В 2024 году была отмечена миграционная прибыль населения в город </w:t>
      </w:r>
      <w:proofErr w:type="spellStart"/>
      <w:r>
        <w:rPr>
          <w:rStyle w:val="aa"/>
          <w:rFonts w:eastAsia="Calibri"/>
          <w:i w:val="0"/>
          <w:sz w:val="28"/>
        </w:rPr>
        <w:t>Искитим</w:t>
      </w:r>
      <w:proofErr w:type="spellEnd"/>
      <w:r>
        <w:rPr>
          <w:rStyle w:val="aa"/>
          <w:rFonts w:eastAsia="Calibri"/>
          <w:i w:val="0"/>
          <w:sz w:val="28"/>
        </w:rPr>
        <w:t xml:space="preserve"> в количестве 322 человек (в 2023 году наблюдался приток населения в количестве 237 человек), что является свидетельством повышения качества жизни населения и комфортности города </w:t>
      </w:r>
      <w:proofErr w:type="spellStart"/>
      <w:r>
        <w:rPr>
          <w:rStyle w:val="aa"/>
          <w:rFonts w:eastAsia="Calibri"/>
          <w:i w:val="0"/>
          <w:sz w:val="28"/>
        </w:rPr>
        <w:t>Искитима</w:t>
      </w:r>
      <w:proofErr w:type="spellEnd"/>
      <w:r>
        <w:rPr>
          <w:rStyle w:val="aa"/>
          <w:rFonts w:eastAsia="Calibri"/>
          <w:i w:val="0"/>
          <w:sz w:val="28"/>
        </w:rPr>
        <w:t>, как места для проживания, работы, обучения и воспитания детей.</w:t>
      </w:r>
      <w:r>
        <w:rPr>
          <w:rStyle w:val="aa"/>
          <w:rFonts w:eastAsia="Calibri"/>
          <w:sz w:val="28"/>
        </w:rPr>
        <w:t xml:space="preserve"> </w:t>
      </w:r>
      <w:r>
        <w:rPr>
          <w:sz w:val="28"/>
          <w:szCs w:val="28"/>
        </w:rPr>
        <w:t xml:space="preserve">Численность населения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на 01.01.2025 года составила 56 509 человек.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заработная плата по полному кругу предприятий к концу 2024 года увеличилась на 23,9% и составила 70 304 руб.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 занимает ведущее положение в экономике города. Наибольший удельный вес в общем объеме производства промышленной продукции имеет производство строительных материалов – 47,5%.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непростой экономической ситуации в 2024 году предприятиями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отгружено промышленной продукции в действующих ценах на сумму 56,2 млрд. руб. Индекс физического объема составил 134,9%. 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По итогам 2024 года на территории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розничную торговлю осуществлял 501 субъект потребительского рынка, что выше уровня 2023 года на 1%, количество объектов потребительского рынка составляло 584. </w:t>
      </w:r>
    </w:p>
    <w:p w:rsidR="0033056E" w:rsidRDefault="000917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Фактическая обеспеченность стационарными торговыми объектами по итогам 2024 года превышает установленный для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минимальный норматив в 1,7 раза. </w:t>
      </w:r>
    </w:p>
    <w:p w:rsidR="0033056E" w:rsidRDefault="000917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Оборот розничной торговли за 2024 год составил 8,7 млрд. рублей, индекс физического объема оборота к 2023 году составил 103,6%. Основную часть оборота розничной торговли формируют крупные и средние организации.</w:t>
      </w:r>
    </w:p>
    <w:p w:rsidR="0033056E" w:rsidRDefault="000917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2024 года оборот предприятий общественного питания в          г.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составил 330,2 млн. рублей, индекс физического объема к 2023 году составил 105%.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Важную составляющую в сфере потребительского рынка занимает бытовое обслуживание населения. Население города обеспечено всеми видами бытовых услуг в полном объеме.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Объем платных услуг населения составил 2 402 млн. рулей, индекс физического объема к 2023 году составил 105%.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2025 и последующих годах большое внимание в сфере потребительского рынка  будет уделено развитию </w:t>
      </w:r>
      <w:proofErr w:type="spellStart"/>
      <w:r>
        <w:rPr>
          <w:sz w:val="28"/>
          <w:szCs w:val="28"/>
        </w:rPr>
        <w:t>многоформатной</w:t>
      </w:r>
      <w:proofErr w:type="spellEnd"/>
      <w:r>
        <w:rPr>
          <w:sz w:val="28"/>
          <w:szCs w:val="28"/>
        </w:rPr>
        <w:t xml:space="preserve"> торговли (нестационарной, мобильной), проведению ярмарок, реализации комплекса мер по развитию розничных рынков, расширению современных форм и методов торговли, направленных на удовлетворение спроса населения на потребительские товары и услуги, способствующих развитию конкуренции на продовольственном рынке  и создающих благоприятные возможности для местных производителей.</w:t>
      </w:r>
      <w:proofErr w:type="gramEnd"/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Малое и среднее предпринимательство является неотъемлемым и необходимым элементом любой развитой хозяйственной системы. Современный динамично развивающийся малый бизнес обеспечивает поддержание конкурентных начал в экономике, что в свою очередь способствует созданию новых более эффективных и производительных рабочих мест. </w:t>
      </w:r>
      <w:r>
        <w:rPr>
          <w:sz w:val="28"/>
          <w:szCs w:val="28"/>
        </w:rPr>
        <w:t>Роль малого бизнеса нельзя недооценивать, так как от его развития зависят повышение конкурентоспособности отраслей экономики, увеличение налоговых поступлений и благосостояние населения. 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По итогам 2024 года на территории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осуществляли различные виды деятельности 1 317 </w:t>
      </w:r>
      <w:proofErr w:type="gramStart"/>
      <w:r>
        <w:rPr>
          <w:sz w:val="28"/>
          <w:szCs w:val="28"/>
        </w:rPr>
        <w:t>индивидуальных</w:t>
      </w:r>
      <w:proofErr w:type="gramEnd"/>
      <w:r>
        <w:rPr>
          <w:sz w:val="28"/>
          <w:szCs w:val="28"/>
        </w:rPr>
        <w:t xml:space="preserve"> предпринимателя и 554 предприятия малого бизнеса. Численность занятых на малых предприятиях снизилась за счет снижения предприятий малого и среднего бизнеса и составила 6 269 человек.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инвестиционных вложений малых и средних предприятий составляет 39% от общего объема инвестиций по городу.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итогов инвестиционной деятельности предприятий и организаций города показал, что объем инвестиций в основной капитал за счет всех источников финансирования увеличился на 88,1% в сопоставимых ценах к уровню 2023 года и составил 4,4 млрд. руб.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Более 70% общего объёма инвестиций в 2024 году приходится на производственную сферу и строительство жилья. В промышленности освоено около 50% общего объёма инвестиций, которые в промышленных предприятиях были направлены  на техническое перевооружение производственных мощностей АО «</w:t>
      </w:r>
      <w:proofErr w:type="spellStart"/>
      <w:r>
        <w:rPr>
          <w:sz w:val="28"/>
          <w:szCs w:val="28"/>
        </w:rPr>
        <w:t>Искитимцемент</w:t>
      </w:r>
      <w:proofErr w:type="spellEnd"/>
      <w:r>
        <w:rPr>
          <w:sz w:val="28"/>
          <w:szCs w:val="28"/>
        </w:rPr>
        <w:t>», АО «НЗИВ» и               АО «</w:t>
      </w:r>
      <w:proofErr w:type="spellStart"/>
      <w:r>
        <w:rPr>
          <w:sz w:val="28"/>
          <w:szCs w:val="28"/>
        </w:rPr>
        <w:t>ИскитимИзвесть</w:t>
      </w:r>
      <w:proofErr w:type="spellEnd"/>
      <w:r>
        <w:rPr>
          <w:sz w:val="28"/>
          <w:szCs w:val="28"/>
        </w:rPr>
        <w:t>».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отчётном периоде бюджетные инвестиции составили 14,8% от общего объёма инвестиций. Основная их часть была направлена на ремонт дорог города, обновление подвижного состава автотранспортного предприятия города, переселение жителей из аварийного и ветхого жилья, здравоохранение и благоустройство сквера в микрорайоне Индустриальном.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введено в эксплуатацию  21637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жилья, что на 33,9%   ниже уровня аналогичного показателя соответствующего периода прошлого года. Объём строительно-монтажных работ, выполненный всеми предприятиями и организациями города, по сравнению с соответствующим периодом  прошлого года в сопоставимых ценах увеличился на 3,2%. Основной </w:t>
      </w:r>
      <w:r>
        <w:rPr>
          <w:sz w:val="28"/>
          <w:szCs w:val="28"/>
        </w:rPr>
        <w:lastRenderedPageBreak/>
        <w:t>объем строительно-монтажных работ освоен в строительстве жилых зданий и  производственных помещений.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развитие города, усиление его позиций в настоящее время во многом зависит от привлечения на территорию: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средств федерального и областного бюджетов через участие в проектах и программах всех уровней;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средств частных инвесторов через реализацию инвестиционных проектов на сформированных площадках с наличием мощностей.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объем перевозок грузов автомобильным транспортом составил 3437,8 тыс. тонн.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В целях создания условий для организации транспортного обслуживания населения в городе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сформирована маршрутная сеть, состоящая из 23 муниципальных маршрутов. Пассажирские перевозки осуществляли 4 перевозчика, из них одно пассажирское автотранспортное предприятие и 3 предпринимателя. Общий объем пассажирских перевозок за 2024 год  увеличился  на 6,9% и составил 4 100 тысяч человек.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доля в объеме пассажирских перевозок в 2024 году приходилась н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«ПАТП». Сегодня это единственное предприятие, осуществляющее по договору с Министерством транспорта и дорожного хозяйства Новосибирской области пассажирские перевозки льготных категорий граждан на территории города.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Оценка факторов и ограничений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на среднесрочный период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среднесрочном периоде определяется как внешними, так и внутренними факторами, которые носят характер возможностей и ограничений социально-экономического развития.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Тенденции развития мировой и российской экономики отражают внешние факторы, обусловленные возможным замедлением роста экономики, обесцениванием валют развивающихся рынков, введением ограничений, связанных со сложной экономической ситуацией.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К внутрироссийским факторам, которые могут отрицательно повлиять на социально-экономическое развитие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, можно отнести  инфляционные процессы как следствие </w:t>
      </w:r>
      <w:proofErr w:type="spellStart"/>
      <w:r>
        <w:rPr>
          <w:sz w:val="28"/>
          <w:szCs w:val="28"/>
        </w:rPr>
        <w:t>санкционного</w:t>
      </w:r>
      <w:proofErr w:type="spellEnd"/>
      <w:r>
        <w:rPr>
          <w:sz w:val="28"/>
          <w:szCs w:val="28"/>
        </w:rPr>
        <w:t xml:space="preserve"> давления со стороны западных стран, снижение численности населения в трудоспособном возрасте, а также невысокую доступность финансовых ресурсов для субъектов бизнеса из-за высоких процентных ставок по кредитам, несмотря на значительные послабления в отдельных видах финансовой поддержки в 2024 году.</w:t>
      </w:r>
      <w:proofErr w:type="gramEnd"/>
    </w:p>
    <w:p w:rsidR="0033056E" w:rsidRDefault="000917B8">
      <w:pPr>
        <w:pStyle w:val="af2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основным факторам и ограничениям, сдерживающим социально-экономическое развитие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среднесрочном периоде, относятся: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невысокие темпы роста доходов населения;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недостаточный уровень благосостояния населения;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недостаток инвестиций;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недостаточный уровень внедрения инновационных технологий;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недостаточный уровень развития инфраструктуры;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ограниченность бюджетных ресурсов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усиление конкуренции за квалифицированные кадры;</w:t>
      </w:r>
    </w:p>
    <w:p w:rsidR="0033056E" w:rsidRDefault="000917B8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численности населения в трудоспособном возрасте.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Демографический прогноз предполагает усиление тенденции старения населения и ухудшение возрастной структуры. Динамика естественной убыли населения демонстрирует превышение смертности над рождаемостью.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Экономическому росту могут способствовать решение задач, определенных документами стратегического планирования, планами мероприятий и дорожными картами, направленными на социально-экономическое развитие города. Вышеуказанные факторы и ограничения будут оказывать влияние на социально-экономическое развитие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2026 - 2028 годах.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Основные направления (приоритеты)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и целевые показатели прогноза социально-экономического развития на 2026 год и плановый период 2027-2028 годов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Приоритеты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 на 2026 год и плановый период 2027 и 2028 годов: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>
        <w:rPr>
          <w:sz w:val="28"/>
          <w:szCs w:val="28"/>
        </w:rPr>
        <w:tab/>
        <w:t>Развитие человеческого капитала и социальной сферы: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обеспечения положительных темпов демографического развития в городе и дальнейшего улучшения демографической ситуации:</w:t>
      </w:r>
    </w:p>
    <w:p w:rsidR="0033056E" w:rsidRDefault="000917B8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реализации мер, направленных на улучшение положения семей с детьми, укрепление института семьи, повышение престижа материнства и отцовства, развитие и сохранение семейных ценностей;</w:t>
      </w:r>
    </w:p>
    <w:p w:rsidR="0033056E" w:rsidRDefault="000917B8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снижение смертности по основным классам причин, содействие увеличению продолжительности здоровой жизни населения;</w:t>
      </w:r>
    </w:p>
    <w:p w:rsidR="0033056E" w:rsidRDefault="000917B8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благоприятной социальной среды для жизни и самореализации жителей города.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здорового образа жизни у граждан, обеспечение населения доступной и качественной медицинской помощью: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моделей поведения и системы жизненных ценностей, особенно у детей и лиц трудоспособного возраста, к ведению здорового образа жизни, в том числе путем просвещения различных групп и реализации мер, направленных на здоровое питание,  регулярные занятия спортом и первичную профилактику различного вида зависимостей; 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формировании эффективной системы профилактики заболеваний, предусматривающей увеличение охвата граждан профилактическими медицинскими осмотрами;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среды, способствующей ведению гражданами здорового образа жизни, включая здоровое питание;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информационно-коммуникационной кампании, направленной на формирование и мотивирование к ведению здорового образа жизни;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предотвращение употребления наркотиков и их незаконного оборота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создании современной системы оказания медицинской помощи лицам старших возрастных групп во взаимодействии с организациями социального обслуживания;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доступности и качества оказания паллиативной медицинской помощи;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 улучшению условий и охраны труда, направленных на сохранение жизни и здоровья работников в процессе трудовой деятельности;</w:t>
      </w:r>
    </w:p>
    <w:p w:rsidR="0033056E" w:rsidRDefault="000917B8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предоставлении льготного лекарственного обеспечения отдельным категориям граждан.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благополучия и устойчивого роста качества жизни населения города: </w:t>
      </w:r>
    </w:p>
    <w:p w:rsidR="0033056E" w:rsidRDefault="000917B8">
      <w:pPr>
        <w:pStyle w:val="a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достижению установленных Указами Президента Российской Федерации соотношений между средней заработной платой отдельных категорий работников бюджетной сферы и средней заработной платой в Новосибирской области; </w:t>
      </w:r>
    </w:p>
    <w:p w:rsidR="0033056E" w:rsidRDefault="000917B8">
      <w:pPr>
        <w:pStyle w:val="a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повышения уровня реального размера заработной платы работников муниципальных учреждений; </w:t>
      </w:r>
    </w:p>
    <w:p w:rsidR="0033056E" w:rsidRDefault="000917B8">
      <w:pPr>
        <w:pStyle w:val="a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ведомственного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организациях бюджетной сферы;</w:t>
      </w:r>
    </w:p>
    <w:p w:rsidR="0033056E" w:rsidRDefault="000917B8">
      <w:pPr>
        <w:pStyle w:val="a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социальной и правовой защищенности работников организаций в результате легализации трудовых отношений.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удовлетворение рынка труда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квалифицированными кадрами, обеспечение эффективной занятости граждан: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обеспечении стабильной ситуации на официальном рынке труда, осуществление опережающих действий по содействию трудоустройству уволенных работников в связи с сокращением и находящихся под риском высвобождения на имеющиеся вакантные рабочие места;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предприятий необходимыми кадрами через изменение индивидуальных образовательных траекторий студентов старших курсов, предусматривающих совмещение работы и обучения, организацию практики, целевого обучения на предприятиях;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профессиональной переподготовки и повышения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квалификации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ищущих работу граждан, включая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возраста и женщин, воспитывающих детей дошкольного возраста;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сбалансированности спроса и предложения рабочей силы, стимулирование населения к трудовой активности, повышение конкурентоспособности молодежи на рынке труда и граждан с инвалидностью; 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системы содействия занятости населения через создание новых эффективных рабочих мест, расширение возможностей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предпринимательства, использование гибких форм занятости;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и адаптации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высококвалифицированных, профессиональных кадров в соответствии и перспективными потребностями экономики; 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обеспечение государственных гарантий в области содействия занятости населения, социальной поддержки граждан в период их временной безработицы;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работодателям в обеспечении необходимыми трудовыми ресурсами, в том числе инвесторам в кадровом обеспечении инвестиционных проектов, реализующих или планирующих к реализации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качества предоставления услуг в сфере содействия занятости населения в городе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33056E" w:rsidRDefault="000917B8">
      <w:pPr>
        <w:pStyle w:val="a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роста заработной платы за счет реализации высокоэффективных инвестиционных проектов, развития современных производств, повышения производительности труда, принятие мер по сокращению неформальной занятости населения.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конкурентного, современного и качественного образования, обеспечение равных образовательных возможностей для граждан: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повышения доступности качественного образования, соответствующего требованиям развития экономики и современным потребностям общества и каждого жителя;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 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современной материальной инфраструктуры образования и технологической образовательной среды образовательных организаций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с учетом особенностей образовательной деятельности, обеспечение безопасного подвоза учащихся к базовой крупной школе;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 обеспечению безопасности и сохранению здоровья детей, формированию системы инклюзивного образования, сохранению организаций, осуществляющих образовательную деятельность по адаптированным основным общеобразовательным программам; 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предоставление мест в дошкольных организациях, развитие вариативных форм дошкольного образования;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уровня воспитательной работы в общеобразовательных организациях, реализация мер по развитию дополнительного образования детей; 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 поддержка одаренных детей и учащейся молодежи;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обновление кадрового состава образовательных организаций и привлечение молодых педагогов для работы в сфере образования; 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программах по подготовке квалифицированных специалистов и рабочих кадров в соответствии с современными стандартами и передовыми технологиями на базе профессиональных образовательных организаций Новосибирской области;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условий для создания опережающей адаптивной подготовки кадров на базе профессиональных образовательных организаций,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минимизирующих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кадровый дефицит, в соответствии с текущими и перспективными требованиями рынка труда; 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принятия участия в профессиональных конкурсах с целью предоставления гражданам возможностей для профессионального и карьерного роста;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развития современной и безопасной цифровой образовательной среды, обеспечивающей высокое качество и доступность образования всех видов и уровней;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 начального, основного и среднего общего образования, общеобразовательных программ в сетевой форме;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необходимых условий пребывания детей, детей с ОВЗ и детей-инвалидов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детей с ограниченными возможностями здоровья программами дополнительного образования, в том числе с использованием дистанционных технологий;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числа обучающихся муниципальных общеобразовательных учреждений, занимающихся во вторую смену;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охвата детей в возрасте 5 - 18 лет программами дополнительного образования, а также занимающихся в кружках, организованных на базе дневных общеобразовательных организаций;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профессионального мастерства педагогов системы общего и дополнительного образования детей, в том числе в формате непрерывного образования.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конкурентоспособности системы образования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воспитание гармонично развитой личности на основе культурных традиций;</w:t>
      </w:r>
    </w:p>
    <w:p w:rsidR="0033056E" w:rsidRDefault="000917B8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управления системой образования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разносторонней, развитой, нравственной личности, имеющей возможности для самореализации: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условий для формирования у населения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потребности в культурных ценностях и реализации творческого потенциала, вовлечения населения в культурную жизнь города;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формирования гармоничной и комфортной культурной среды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модернизация инфраструктуры в сфере культуры;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повышения качества и разнообразия культурной жизни граждан;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 формировании и продвижении устойчивого бренда, отражающего представление о Новосибирской области как о крупнейшем культурном центре азиатской части России;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обеспечении развития сферы культуры профессиональными кадрами;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сохранности и популяризации историко-культурного наследия народов, проживающих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межведомственное взаимодействие, активное вовлечение населения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общественных организаций и коммерческого сектора в формирование культурного пространства;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участию молодых талантов во всероссийских и международных творческих состязаниях;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организаций культуры по защите исторической правды, сохранению исторической памяти, противодействию фальсификации истории;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максимальной доступности жителей города к культурным ценностям и участию в культурной жизни города;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культурных мероприятий регионального уровня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(реконструкция) выставочных пространств, культурно-досуговых организаций на территории города, развитие библиотек, увеличение уровня комплектования книжных фондов общедоступных библиотек;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сохранение исторической памяти, противодействие попыткам фальсификации истории, сбережение исторического опыта формирования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традиционных ценностей и их влияния на российскую историю, в том числе на жизнь и творчество выдающихся деятелей России; 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мотивации населения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регулярным занятиям физической культурой и спортом и ведению здорового образа жизни;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физической культуры и спорта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 расширении сети современной инфраструктуры физической культуры и спорта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развития спорта высших достижений и совершенствование системы подготовки спортивного резерва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традиционных российских ценностно-смысловых и нравственных ориентиров, гражданственности и патриотизма в молодежной среде;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гражданского становления и социальной самореализации молодежи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в соответствии с меняющимися запросами населения;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системы ценностей здорового образа жизни в молодежной среде, обеспечение социальных гарантий молодежи, содействие ее образованию, научной, научно-технической и творческой деятельности;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позитивного образа «Малой Родины», воспитание ответственности перед территорией, в которой живешь;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развитие, укрепление и повышение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эффективности системы патриотического воспитания граждан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профилактика проявлений экстремизма, национализма преступности в молодежной среде;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развития молодежного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молодежных и детских общественно-государственных и общественных объединений, органов молодежного самоуправления;   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 развитии системы управления и инфраструктуры в сфере молодежной политики;  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обеспечения преемственности духовно-нравственных ценностей российского общества, присвоения молодежью исторических и национально-культурных традиций народов России как основы для создания патриотического молодежного сообщества, работающего на национальные интересы России, готового служить Родине во всех сферах;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финансовой грамотности; противодействие деструктивному поведению молодежи, ее правовое просвещение и информационная защита;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 развитии инфраструктуры для осуществления молодежной политики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 условий для активного самоопределения и самореализации молодежи как носителя инновационных возможностей;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развития профессиональных компетенций специалистов, осуществляющих работу с молодежью;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укрепления и сохранения межнациональных отношений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укрепления общероссийского гражданского единства, сохранения и развития этнокультурного многообразия народов Новосибирской области, развития духовно-нравственных основ;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населения города культуры межнациональных и межконфессиональных отношений;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Российской гражданской идентичности населения города на основе духовно-нравственных и культурных ценностей народов Российской Федерации;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правовых, организационных и других условий функционирования и развития институтов гражданского общества;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развитие информационного общества;</w:t>
      </w:r>
    </w:p>
    <w:p w:rsidR="0033056E" w:rsidRDefault="000917B8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всех слоев населения экологическим просвещением, образованием, воспитание, формирование активной гражданской позиции и ответственности.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комфортной жизни и самореализации отдельных категорий населения, нуждающихся в особой заботе государства, повышение эффективности мер социальной защиты: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традиционных семейных ценностей; реализация комплексного подхода к социальному обслуживанию и социальному сопровождению семей с детьми, нуждающихся в помощи и поддержке; внедрение новых принципов развития сектора детского отдыха;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социальной поддержки участников специальной военной операции и членам их семей;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работы с семьями с детьми, направленной на предотвращение рисков возникновения и раннюю профилактику семейного неблагополучия;</w:t>
      </w:r>
    </w:p>
    <w:p w:rsidR="0033056E" w:rsidRDefault="000917B8">
      <w:pPr>
        <w:pStyle w:val="af2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систем сопровождения замещающих семей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выпускников детских домов; обеспечение лиц из числа детей-сирот и детей, оставшихся без попечения родителей, жилыми помещениями;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обеспечение воспитания детей в семье (кровной или замещающей);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адресности и доступности социального обслуживания, результативности предоставления социальных услуг, развитие вариативности форм и технологий оказания услуг различным категориям населения;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совершенствование работы по предоставлению качественных и востребованных социальных услуг гражданам старшего поколения, реализация мер поддержания активного долголетия для самостоятельной, независимой и полноценной жизни пожилых граждан и инвалидов, развитие системы долговременного ухода за гражданами пожилого возраста и инвалидами, нуждающимися в уходе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социальной интеграции инвалидов и формирование доступной среды для инвалидов и других маломобильных групп населения;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материальная поддержка жителей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оказавшихся в трудной жизненной ситуации;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социальных услуг отдельным категориям граждан;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развитию конкурентного рынка социальных услуг;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оптимального клиентского пути при получении муниципальных услуг и мер социальной поддержки, повышение качества и комфортности их получения;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поддержки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современных эффективных социальных практик по поддержке жизненного потенциала семей, воспитывающих детей с инвалидностью, повышение качества и доступности социальных услуг, в том числе за счет развития дистанционных сервисов, создание условий для проживания лиц с инвалидностью в семье или самостоятельно;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активного, независимого образа жизни лиц с ограниченными возможностями здоровья, а также толерантного отношения в обществе к ним; 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работы по предоставлению гражданам старшего поколения качественных и востребованных социальных услуг, содействие обучению компьютерной грамотности; 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качества и доступности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общественных бань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укрепление материально – технической базы; 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права граждан на меры социальной поддержки при проезде на пассажирском транспорте;</w:t>
      </w:r>
    </w:p>
    <w:p w:rsidR="0033056E" w:rsidRDefault="000917B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системы отдыха и оздоровления детей и иной категории граждан, обеспечение доступности детского отдыха и оздоровления.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Стимулирование развития жилищного строительства, формирование рынка доступного и комфортного жилья на территории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>: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комплексного развития территорий в целях жилищного строительства, удовлетворения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потребностей разных групп населения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современном, доступном и качественном жилье; увеличение объемов жилищного строительства, в том числе за счет внедрения новых технологических решений, снижения себестоимости строительства; 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использования земельных ресурсов, вовлечение в жилищное строительство неэффективно используемых земельных участков в муниципальной собственности, развитие индивидуального жилищного строительства;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внедрению новых современных,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ресурсосберегающих технологий в производство строительных материалов, используемых в жилищном строительстве;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площадок комплексного жилищного строительства объектами инженерной и транспортной инфраструктуры; 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административной нагрузки на застройщиков, совершенствование нормативно-правовой базы и порядка регулирования деятельности в сфере жилищного строительства; 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расселения граждан из аварийного жилищного фонда, реконструкции и капитального ремонта жилищного фонда; 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конкуренции в управлении жилищным фондом и его обслуживании, повышение качества предоставляемых жилищно-коммунальных услуг, требований к качеству деятельности управляющих компаний,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обязательств;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требований населения к качеству жилищно-коммунальных услуг, обеспечение бесперебойного функционирования объектов коммунального комплекса и энергетики в период отопительного сезона и повышение уровня технической безопасности жилищного фонда;</w:t>
      </w:r>
    </w:p>
    <w:p w:rsidR="0033056E" w:rsidRDefault="000917B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энергобезопасности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счет модернизации, реконструкции и строительства новых инженерных систем и сетей, снижения аварийности инженерной инфраструктуры и потерь энергоресурсов при их производстве и транспортировке.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</w:t>
      </w:r>
      <w:r>
        <w:rPr>
          <w:sz w:val="28"/>
          <w:szCs w:val="28"/>
        </w:rPr>
        <w:tab/>
        <w:t>Развитие конкурентоспособной экономики с высоким уровнем предпринимательской активности и конкуренции: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и развитие важнейших конкурентных позиций города: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ускорении процессов цифровой трансформации экономики за счет внедрения цифровых технологий;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увеличению вклада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ИКТ-бизнеса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экономику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содействие созданию импортозамещающих производств;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созданию высокопроизводительных рабочих мест, повышению производительности труда и внедрению инструментов бережливого производства;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развития производства конкурентоспособной гражданской продукции на предприятиях оборонно-промышленного комплекса для увеличения загрузки производственных мощностей;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технологического обновления и перевооружения субъектов деятельности в сфере промышленности; внедрение новых высокопроизводительных технологий;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устойчивого развития малого и среднего предпринимательства как резерва экономического роста;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повышению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энергобезопасности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экономике и социальной сфере;</w:t>
      </w:r>
    </w:p>
    <w:p w:rsidR="0033056E" w:rsidRDefault="000917B8">
      <w:pPr>
        <w:pStyle w:val="ConsPlusNormal0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обеспечении населения города продовольствием, безопасным и конкурентным по цене и своим потребительским свойствам, увеличение производства экологически чистых продуктов питания;</w:t>
      </w:r>
    </w:p>
    <w:p w:rsidR="0033056E" w:rsidRDefault="000917B8">
      <w:pPr>
        <w:pStyle w:val="ConsPlusNormal0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повышения конкурентоспособности перевозчиков, расширение использования передовых высокоэффективных транспортно-логистических технологий, содействие расширению ассортимента предоставляемых платных услуг, в том числе услуг образования, транспорта, медицинских и туристических, повышению их качества, а также увеличению их доступности для различных категорий граждан;</w:t>
      </w:r>
    </w:p>
    <w:p w:rsidR="0033056E" w:rsidRDefault="000917B8">
      <w:pPr>
        <w:pStyle w:val="ConsPlusNormal0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комплекса мер социального, экономического, нормативно-правового, информационного и организационного характера, направленного на создание условий для эффективного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многоформатной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торговли, наиболее полного удовлетворения спроса населения на потребительские товары и услуги, в первую очередь отечественного производства, по доступным ценам;</w:t>
      </w:r>
    </w:p>
    <w:p w:rsidR="0033056E" w:rsidRDefault="000917B8">
      <w:pPr>
        <w:pStyle w:val="ConsPlusNormal0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 туристического направления, развитие внутреннего и въездного туризма, в частности таких сегментов туристского рынка, спортивный, событийный, культурно-познавательный, экскурсионный, экологический и пляжный туризм.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привлечения инвестиций, развития существующего бизнеса и реализации новых проектов;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повышение инвестиционной привлекательности города, в том числе за счет повышения уровня доступности и открытости информации, снижения административных барьеров, формирования инвестиционных площадок;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дальнейшем развитии строительно-производственной зоны Новосибирской агломерации;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эффективности распоряжения бюджетными ресурсами и муниципальным имуществом, в том числе обеспечение роста налогового потенциала и доходной базы бюджета города, исполнение всех действующих и </w:t>
      </w:r>
      <w:r>
        <w:rPr>
          <w:rFonts w:ascii="Times New Roman" w:hAnsi="Times New Roman" w:cs="Times New Roman"/>
          <w:sz w:val="28"/>
          <w:szCs w:val="28"/>
        </w:rPr>
        <w:lastRenderedPageBreak/>
        <w:t>вновь принимаемых обязательств, повышение эффективности использования бюджетных средств и направление высвобождаемых ресурсов на модернизацию и развитие;</w:t>
      </w:r>
    </w:p>
    <w:p w:rsidR="0033056E" w:rsidRDefault="000917B8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продвижению продукции предприятий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внешние рынки путем информирования и привлечения к участию в оптово-розничных ярмарках Новосибирской области.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Создание современной и безопасной среды для жизни посредством преображения города: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рационального природопользования как основы экологической безопасности, высоких стандартов экологического благополучия: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обращения с отходами производства и потребления в городе, направленное на снижение негативного воздействия отходов производства и потребления на окружающую среду;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природных систем города;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снижение негативных последствий, вызванных загрязнением окружающей среды опасными видами отходов;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экологической культуры и грамотности населения города;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мероприятий по охране окружающей среды в границах города;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организации деятельности по сбору, транспортированию, твердых коммунальных отходов, утилизации и обезвреживание ртутьсодержащих отходов;</w:t>
      </w:r>
    </w:p>
    <w:p w:rsidR="0033056E" w:rsidRDefault="000917B8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мероприятий, направленных  на ликвидацию накопленного экологического вреда путем ликвидации несанкционированных свалок в границах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повышения уровня и качества жизни населения на основе Новосибирской агломерации с учетом сбалансированного, гармоничного пространственного и инфраструктурного развития города: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комплексному освоению территорий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развитию застроенных территорий в целях жилищного строительства на основе утвержденной градостроительной документации;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строительству объектов инженерной, коммунальной, дорожной и общественной инфраструктуры, в том числе на территориях массовой жилой застройки;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участия в реализации федеральных проектов «Формирование комфортной городской среды», «Модернизация коммунальной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инфраструктуры», «Жилье» входящих в состав национального проекта «Инфраструктура для жизни» и федеральном проекте «Чистый воздух», входящим в состав национального проекта «Экологическое благополучие»;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внедрению передовых технологий и материалов в строительстве, современных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архитектурных решений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, цифровых технологий в работу социальных объектов, общественного транспорта, коммунального хозяйства в целях обеспечения обновления городской среды;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населения качественной питьевой водой, дальнейшее развитие газификации;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результативности функционирования системы жилищно-коммунального хозяйства, обеспечение эффективной работы предприятий жилищно-коммунальной сферы;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привлечения инвестиций в сферу жилищно-коммунального хозяйства в целях решения задач модернизации и повышения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коммунального хозяйства; 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 реализации проектов государственно-частного партнерства в коммунальной и социальной сфере; 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безопасного проживания граждан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путем снижения вероятности реализации угроз криминального, террористического, природного, техногенного и иного характера, обеспечение пожарной безопасности; укрепление общественной безопасности в городе;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профилактики правонарушений и повышение уровня безопасности граждан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 создании и развитии специализированных систем с использованием технических средств видеонаблюдения для обеспечения правопорядка и антитеррористической безопасности объектов социальной инфраструктуры;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выполнении необходимых мероприятий по ГО;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транспортных потребностей населения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пассажирских перевозках;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обновлении подвижного состава пассажирского транспорта;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достижения целей и целевых показателей федерального проекта «Безопасность дорожного движения» в части снижения количества погибших участников дорожного движения; 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минимизация возможности совершения террористических актов на объектах возможных террористических посягательств, расположенных на территории города; 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снижение уровня аварийности и повышения безопасности пассажирских перевозок;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 модернизация автомобильных дорог улично-дорожной сети и искусственных сооружений на ней;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сохранности и восстановления улично-дорожной сети и искусственных сооружений на ней; 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улично-дорожной сети по условиям безопасности дорожного движения, включая работы по организации дорожного движения;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комплексное благоустройство территории города,  в том числе дворовых территорий;</w:t>
      </w:r>
    </w:p>
    <w:p w:rsidR="0033056E" w:rsidRDefault="000917B8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 современной информационной и телекоммуникационной инфраструктуры города.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</w:t>
      </w:r>
      <w:r>
        <w:rPr>
          <w:sz w:val="28"/>
          <w:szCs w:val="28"/>
        </w:rPr>
        <w:tab/>
        <w:t xml:space="preserve">Совершенствование муниципального управления процессами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целях обеспечения устойчивого развития экономики и социальной стабильности: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стимулирование ТОС, инициативных групп граждан, СО НКО, к участию в социально-экономическом развитии города, сохранении общественно-политической стабильности на основе сбалансированности государственных и общественных интересов за счет повышения потенциала ТОС, инициативных групп граждан, СО НКО и обеспечения его эффективного использования;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</w:rPr>
        <w:t>беспечение информационной, консультационной и методической поддержки представителей ТОС, инициативных групп граждан, СО НКО;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</w:rPr>
        <w:t>тимулирование и поддержка ТОС, инициативных групп граждан, СО НКО, в том числе в рамках реализации ими социально значимых проектов и программ;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</w:rPr>
        <w:t>овершенствование механизмов и повышение эффективности взаимодействия между органами местного самоуправления и институтами гражданского общества в развитии принципов государственно-общественного партнерства;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качества и доступности предоставления государственных и муниципальных услуг, в том числе, в том числе на базе многофункционального центра организации предоставления государственных и муниципальных услуг в городе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процесса предоставления государственных и муниципальных услуг на территории Новосибирской области, в том числе для обеспечения предоставления их абсолютного большинства в режиме 24 часа в сутки 7 дней в неделю без необходимости личного присутствия граждан;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развитие, эксплуатация и популяризация механизмов предоставления муниципальных услуг в электронном виде;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процедуры оценки регулирующего воздействия проектов нормативных правовых актов (далее – ОРВ) и экспертизы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действующих нормативных правовых актов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развитие процедуры оценки применения обязательных требований, содержащихся в нормативных правовых актах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популяризация института ОРВ;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контрольной деятельности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улучшение состояния инвестиционного климата в городе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Искитиме</w:t>
      </w:r>
      <w:proofErr w:type="spellEnd"/>
      <w:r>
        <w:rPr>
          <w:rFonts w:ascii="Times New Roman" w:hAnsi="Times New Roman" w:cs="Times New Roman"/>
          <w:sz w:val="28"/>
          <w:szCs w:val="28"/>
        </w:rPr>
        <w:t>, обеспечение благоприятного инвестиционного климата, привлекательного для внутренних и внешних инвесторов, обеспечивающего рост инвестиционной активности хозяйствующих субъектов и способствующего ускорению темпов социально-экономического развития города в целом;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 реализации национальных проектов, обеспечивающих достижение национальных целей и целевых показателей, выполнение задач, определенных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  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активизация инвестиционных процессов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счет развития механизмов стимулирования частных инвестиций,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партнерства, эффективного вовлечения региональных институтов развития в инвестиционный процесс;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муниципальными земельными ресурсами, государственная собственность на которые не разграничена, а также иным имуществом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управления пассажирским транспортом;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обслуживания населения пассажирским транспортом;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субъектов деятельности в сфере промышленности и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эффективных налоговых льгот и неналоговых мер государственной поддержки промышленным организациям;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благоприятных условий для развития субъектов малого и среднего предпринимательства, прежде всего в сфере материального производства, для повышения экономической и социальной эффективности их деятельности на территории города;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налогового потенциала и уровня собственных доходов бюджета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собираемости налогов и снижение уровня недоимки;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качества и эффективности управления бюджетными средствами; 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межбюджетных отношений, укрепление самостоятельности бюджета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качества и эффективности управления муниципальным долгом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механизма налоговых расходов как одного из элементов финансового обеспечения муниципальных программ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во взаимосвязи с конечным результатом их исполнения, в целях стимулирования экономического роста города, поддержки социально незащищенных слоев населения, стимулирования отдельных видов экономической активности, а также развития налогооблагаемой базы без увеличения уровня расходных обязательств местного бюджета;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обеспечение при формировании проекта бюджета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 приоритетности определения бюджетных ассигнований местного бюджета на обеспечение реализации национальных проектов, муниципальных программ, обеспечивающих достижение целей и целевых показателей, выполнение задач, определенных Указом Президента Российской Федерации от 07.05.2024 № 309 «О национальных целях развития Российской Федерации на период до 2030 года и на перспективу до 2036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года», гарантированное финансирование мероприятий, направленных на реализацию задач, поставленных Президентом Российской Федерации; 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взаимодействие с региональными органами власти, государственными институтами развития, коммерческими структурами в целях привлечения средств федерального и областного бюджетов и внебюджетных источников на реализацию перспективных инфраструктурных, социальных, природоохранных и иных проектов, в том числе в рамках муниципальных программ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государственных программ Новосибирской области;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доступности жителей микрорайонов города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высоко-скоростным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«Интернетом» и связью;</w:t>
      </w:r>
    </w:p>
    <w:p w:rsidR="0033056E" w:rsidRDefault="000917B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институтов местного самоуправления для обеспечения их эффективной деятельности как необходимого условия полноценного социально-экономического развития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стимулирование активного участия населения в решении вопросов местного значения.</w:t>
      </w:r>
    </w:p>
    <w:p w:rsidR="0033056E" w:rsidRDefault="000917B8">
      <w:pPr>
        <w:rPr>
          <w:color w:val="C00000"/>
          <w:sz w:val="28"/>
        </w:rPr>
        <w:sectPr w:rsidR="0033056E">
          <w:pgSz w:w="11906" w:h="16838"/>
          <w:pgMar w:top="1134" w:right="567" w:bottom="851" w:left="1701" w:header="0" w:footer="0" w:gutter="0"/>
          <w:cols w:space="720"/>
          <w:formProt w:val="0"/>
          <w:titlePg/>
          <w:docGrid w:linePitch="212" w:charSpace="8192"/>
        </w:sectPr>
      </w:pPr>
      <w:r>
        <w:br w:type="page"/>
      </w:r>
    </w:p>
    <w:p w:rsidR="0033056E" w:rsidRDefault="000917B8">
      <w:pPr>
        <w:pStyle w:val="af2"/>
        <w:widowControl w:val="0"/>
        <w:numPr>
          <w:ilvl w:val="1"/>
          <w:numId w:val="15"/>
        </w:numPr>
        <w:jc w:val="center"/>
        <w:outlineLvl w:val="2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. Основные параметры прогноза социально-экономического развития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sz w:val="28"/>
          <w:szCs w:val="28"/>
        </w:rPr>
        <w:t xml:space="preserve"> </w:t>
      </w:r>
    </w:p>
    <w:p w:rsidR="0033056E" w:rsidRDefault="000917B8">
      <w:pPr>
        <w:widowControl w:val="0"/>
        <w:ind w:left="1074"/>
        <w:contextualSpacing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на 2026 год и плановый период 2027 и 2028 годов</w:t>
      </w:r>
    </w:p>
    <w:p w:rsidR="0033056E" w:rsidRDefault="0033056E">
      <w:pPr>
        <w:widowControl w:val="0"/>
        <w:jc w:val="center"/>
        <w:outlineLvl w:val="2"/>
        <w:rPr>
          <w:sz w:val="28"/>
          <w:szCs w:val="28"/>
        </w:rPr>
      </w:pPr>
    </w:p>
    <w:tbl>
      <w:tblPr>
        <w:tblW w:w="1573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262"/>
        <w:gridCol w:w="1276"/>
        <w:gridCol w:w="851"/>
        <w:gridCol w:w="864"/>
        <w:gridCol w:w="977"/>
        <w:gridCol w:w="993"/>
        <w:gridCol w:w="993"/>
        <w:gridCol w:w="991"/>
        <w:gridCol w:w="993"/>
        <w:gridCol w:w="993"/>
        <w:gridCol w:w="991"/>
        <w:gridCol w:w="993"/>
        <w:gridCol w:w="991"/>
      </w:tblGrid>
      <w:tr w:rsidR="0033056E">
        <w:trPr>
          <w:trHeight w:val="162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2025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89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Прогноз, годы</w:t>
            </w:r>
          </w:p>
        </w:tc>
      </w:tr>
      <w:tr w:rsidR="0033056E">
        <w:trPr>
          <w:trHeight w:val="254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2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3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56509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56440</w:t>
            </w:r>
          </w:p>
        </w:tc>
      </w:tr>
      <w:tr w:rsidR="0033056E">
        <w:trPr>
          <w:trHeight w:val="142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«производство и распределение электроэнергии, газа и воды»)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56593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60387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72155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73473</w:t>
            </w:r>
          </w:p>
        </w:tc>
      </w:tr>
      <w:tr w:rsidR="0033056E">
        <w:trPr>
          <w:trHeight w:val="48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</w:t>
            </w:r>
            <w:r>
              <w:rPr>
                <w:sz w:val="28"/>
                <w:szCs w:val="28"/>
              </w:rPr>
              <w:lastRenderedPageBreak/>
              <w:t>году</w:t>
            </w:r>
          </w:p>
          <w:p w:rsidR="0033056E" w:rsidRDefault="0033056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135,0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</w:tr>
      <w:tr w:rsidR="0033056E">
        <w:trPr>
          <w:trHeight w:val="431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цен производителей промышленных товаров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  <w:p w:rsidR="0033056E" w:rsidRDefault="0033056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8679,0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9354,8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10327,7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11422,4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11422,4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11849,8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12667,4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12667,4</w:t>
            </w:r>
          </w:p>
        </w:tc>
      </w:tr>
      <w:tr w:rsidR="0033056E">
        <w:trPr>
          <w:trHeight w:val="649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индекс-дефлятор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платных услуг населению</w:t>
            </w:r>
          </w:p>
          <w:p w:rsidR="0033056E" w:rsidRDefault="0033056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2402,0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2781,5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3344,2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3658,6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индекс-дефлятор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к предыдущему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работ, выполненных по виду деятельности «строительство»</w:t>
            </w:r>
          </w:p>
          <w:p w:rsidR="0033056E" w:rsidRDefault="0033056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1551,2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1504,7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12537,6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</w:t>
            </w:r>
          </w:p>
        </w:tc>
      </w:tr>
      <w:tr w:rsidR="0033056E">
        <w:trPr>
          <w:trHeight w:val="70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индекс-дефлятор</w:t>
            </w:r>
          </w:p>
          <w:p w:rsidR="0033056E" w:rsidRDefault="0033056E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33056E" w:rsidRDefault="0033056E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33056E" w:rsidRDefault="0033056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4414,8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2481,9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2598,7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2637,8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2702,6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2795,6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2835,9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2956,4</w:t>
            </w:r>
          </w:p>
        </w:tc>
      </w:tr>
      <w:tr w:rsidR="0033056E">
        <w:trPr>
          <w:trHeight w:val="14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33056E">
        <w:trPr>
          <w:trHeight w:val="631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индекс-дефлятор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</w:tr>
      <w:tr w:rsidR="0033056E">
        <w:trPr>
          <w:trHeight w:val="631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тыс.кв.м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16,4</w:t>
            </w:r>
          </w:p>
        </w:tc>
      </w:tr>
      <w:tr w:rsidR="0033056E">
        <w:trPr>
          <w:trHeight w:val="53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заработной платы работников предприятий и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2"/>
              </w:rPr>
              <w:t>13946,9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16262,1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17498,0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18099,7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19748,7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20371,9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21763,1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22421,3</w:t>
            </w:r>
          </w:p>
        </w:tc>
      </w:tr>
      <w:tr w:rsidR="0033056E">
        <w:trPr>
          <w:trHeight w:val="535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both"/>
              <w:rPr>
                <w:color w:val="C00000"/>
                <w:sz w:val="28"/>
              </w:rPr>
            </w:pPr>
            <w:r>
              <w:rPr>
                <w:sz w:val="22"/>
              </w:rPr>
              <w:t>74787,0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87201,6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93741,8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95921,8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96793,8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101053,6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105514,0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107441,1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108935,8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116065,4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119259,7</w:t>
            </w:r>
          </w:p>
        </w:tc>
      </w:tr>
      <w:tr w:rsidR="0033056E">
        <w:trPr>
          <w:trHeight w:val="54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sz w:val="28"/>
                <w:szCs w:val="28"/>
              </w:rPr>
              <w:t>занятых</w:t>
            </w:r>
            <w:proofErr w:type="gramEnd"/>
            <w:r>
              <w:rPr>
                <w:sz w:val="28"/>
                <w:szCs w:val="28"/>
              </w:rPr>
              <w:t xml:space="preserve"> в экономике (среднегодовая)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26,42</w:t>
            </w:r>
          </w:p>
        </w:tc>
      </w:tr>
      <w:tr w:rsidR="0033056E">
        <w:trPr>
          <w:trHeight w:val="54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Перевезено пассажиров автомобильным транспортом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3 942,3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4 084,2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4 099,9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4 107,9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4 021,1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4 029,0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4 076,3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3 981,7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4 025,1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4 036,9</w:t>
            </w:r>
          </w:p>
        </w:tc>
      </w:tr>
      <w:tr w:rsidR="0033056E">
        <w:trPr>
          <w:trHeight w:val="54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Перевезено грузов автомобильным транспортом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тонн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3 437,8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2 928,4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3 033,8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3 045,5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3 051,4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2 986,9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2 992,8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3 027,9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2 957,7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2 989,9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af2"/>
              <w:widowControl w:val="0"/>
              <w:numPr>
                <w:ilvl w:val="0"/>
                <w:numId w:val="16"/>
              </w:numPr>
              <w:spacing w:line="276" w:lineRule="auto"/>
              <w:jc w:val="center"/>
              <w:rPr>
                <w:color w:val="C00000"/>
                <w:sz w:val="28"/>
              </w:rPr>
            </w:pPr>
            <w:r>
              <w:t>998,7</w:t>
            </w:r>
          </w:p>
        </w:tc>
      </w:tr>
    </w:tbl>
    <w:p w:rsidR="0033056E" w:rsidRDefault="000917B8">
      <w:pPr>
        <w:rPr>
          <w:color w:val="C00000"/>
          <w:sz w:val="28"/>
        </w:rPr>
        <w:sectPr w:rsidR="0033056E">
          <w:pgSz w:w="16838" w:h="11906" w:orient="landscape"/>
          <w:pgMar w:top="567" w:right="851" w:bottom="709" w:left="1134" w:header="0" w:footer="0" w:gutter="0"/>
          <w:cols w:space="720"/>
          <w:formProt w:val="0"/>
          <w:titlePg/>
          <w:docGrid w:linePitch="212" w:charSpace="8192"/>
        </w:sectPr>
      </w:pPr>
      <w:r>
        <w:br w:type="page"/>
      </w:r>
    </w:p>
    <w:p w:rsidR="0033056E" w:rsidRDefault="000917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Целевые показатели </w:t>
      </w:r>
      <w:proofErr w:type="gramStart"/>
      <w:r>
        <w:rPr>
          <w:sz w:val="28"/>
          <w:szCs w:val="28"/>
        </w:rPr>
        <w:t xml:space="preserve">прогноза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</w:t>
      </w:r>
      <w:proofErr w:type="gramEnd"/>
    </w:p>
    <w:p w:rsidR="0033056E" w:rsidRDefault="000917B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2026 год и плановый период 2027 и 2028 годов</w:t>
      </w:r>
    </w:p>
    <w:p w:rsidR="0033056E" w:rsidRDefault="0033056E">
      <w:pPr>
        <w:jc w:val="center"/>
        <w:rPr>
          <w:sz w:val="16"/>
          <w:szCs w:val="16"/>
        </w:rPr>
      </w:pPr>
    </w:p>
    <w:tbl>
      <w:tblPr>
        <w:tblW w:w="5000" w:type="pct"/>
        <w:tblInd w:w="-366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"/>
        <w:gridCol w:w="2469"/>
        <w:gridCol w:w="1898"/>
        <w:gridCol w:w="1610"/>
        <w:gridCol w:w="1405"/>
        <w:gridCol w:w="1341"/>
        <w:gridCol w:w="1503"/>
      </w:tblGrid>
      <w:tr w:rsidR="0033056E">
        <w:trPr>
          <w:trHeight w:val="396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(ожидаемое значение)</w:t>
            </w:r>
          </w:p>
        </w:tc>
        <w:tc>
          <w:tcPr>
            <w:tcW w:w="4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Прогноз, годы</w:t>
            </w:r>
          </w:p>
        </w:tc>
      </w:tr>
      <w:tr w:rsidR="0033056E">
        <w:trPr>
          <w:trHeight w:val="27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right="-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right="-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right="-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</w:tr>
      <w:tr w:rsidR="0033056E">
        <w:trPr>
          <w:trHeight w:val="37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103,2</w:t>
            </w:r>
          </w:p>
        </w:tc>
      </w:tr>
      <w:tr w:rsidR="0033056E">
        <w:trPr>
          <w:trHeight w:val="41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производства продукции сельского хозяйства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2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объема работ, выполненных по виду деятельности «строительство»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97,3</w:t>
            </w:r>
          </w:p>
        </w:tc>
      </w:tr>
      <w:tr w:rsidR="0033056E">
        <w:trPr>
          <w:trHeight w:val="2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тыс.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</w:tr>
      <w:tr w:rsidR="0033056E">
        <w:trPr>
          <w:trHeight w:val="42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оборота розничной торговли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102,5</w:t>
            </w:r>
          </w:p>
        </w:tc>
      </w:tr>
      <w:tr w:rsidR="0033056E">
        <w:trPr>
          <w:trHeight w:val="41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объема платных услуг населению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104,3</w:t>
            </w:r>
          </w:p>
        </w:tc>
      </w:tr>
      <w:tr w:rsidR="0033056E">
        <w:trPr>
          <w:trHeight w:val="43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млрд. рублей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2,48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2,81</w:t>
            </w:r>
          </w:p>
        </w:tc>
      </w:tr>
      <w:tr w:rsidR="0033056E">
        <w:trPr>
          <w:trHeight w:val="42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инвестиций в основной капитал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</w:tr>
      <w:tr w:rsidR="0033056E">
        <w:trPr>
          <w:trHeight w:val="39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человек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56,50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56,16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56,05</w:t>
            </w:r>
          </w:p>
        </w:tc>
      </w:tr>
      <w:tr w:rsidR="0033056E">
        <w:trPr>
          <w:trHeight w:val="42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sz w:val="28"/>
                <w:szCs w:val="28"/>
              </w:rPr>
              <w:t>занятых</w:t>
            </w:r>
            <w:proofErr w:type="gramEnd"/>
            <w:r>
              <w:rPr>
                <w:sz w:val="28"/>
                <w:szCs w:val="28"/>
              </w:rPr>
              <w:t xml:space="preserve"> в экономике (среднегодовая)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человек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25,90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25,93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26,29</w:t>
            </w:r>
          </w:p>
        </w:tc>
      </w:tr>
      <w:tr w:rsidR="0033056E">
        <w:trPr>
          <w:trHeight w:val="37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заработной платы работников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рублей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16262,1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17498,0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18880,3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20371,9</w:t>
            </w:r>
          </w:p>
        </w:tc>
      </w:tr>
      <w:tr w:rsidR="0033056E">
        <w:trPr>
          <w:trHeight w:val="41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87 201,6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93 741,8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101 053,6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108 935,81</w:t>
            </w:r>
            <w:bookmarkStart w:id="1" w:name="OLE_LINK1"/>
            <w:bookmarkEnd w:id="1"/>
          </w:p>
        </w:tc>
      </w:tr>
    </w:tbl>
    <w:p w:rsidR="0033056E" w:rsidRDefault="0033056E">
      <w:pPr>
        <w:ind w:left="720"/>
        <w:contextualSpacing/>
        <w:rPr>
          <w:color w:val="C00000"/>
          <w:sz w:val="28"/>
          <w:szCs w:val="28"/>
        </w:rPr>
      </w:pPr>
    </w:p>
    <w:p w:rsidR="0033056E" w:rsidRDefault="0033056E">
      <w:pPr>
        <w:ind w:left="720"/>
        <w:contextualSpacing/>
        <w:rPr>
          <w:color w:val="C00000"/>
          <w:sz w:val="28"/>
          <w:szCs w:val="28"/>
        </w:rPr>
      </w:pPr>
    </w:p>
    <w:p w:rsidR="0033056E" w:rsidRDefault="0033056E">
      <w:pPr>
        <w:jc w:val="center"/>
        <w:rPr>
          <w:color w:val="C00000"/>
          <w:sz w:val="28"/>
          <w:szCs w:val="28"/>
        </w:rPr>
      </w:pPr>
    </w:p>
    <w:p w:rsidR="0033056E" w:rsidRDefault="0033056E">
      <w:pPr>
        <w:jc w:val="center"/>
        <w:rPr>
          <w:color w:val="C00000"/>
          <w:sz w:val="28"/>
          <w:szCs w:val="28"/>
        </w:rPr>
      </w:pPr>
    </w:p>
    <w:p w:rsidR="0033056E" w:rsidRDefault="000917B8">
      <w:pPr>
        <w:rPr>
          <w:color w:val="C00000"/>
          <w:sz w:val="28"/>
          <w:szCs w:val="28"/>
        </w:rPr>
      </w:pPr>
      <w:r>
        <w:br w:type="page"/>
      </w:r>
    </w:p>
    <w:p w:rsidR="0033056E" w:rsidRDefault="000917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3.4.</w:t>
      </w:r>
      <w:r>
        <w:rPr>
          <w:sz w:val="28"/>
          <w:szCs w:val="28"/>
        </w:rPr>
        <w:tab/>
        <w:t xml:space="preserve">Качественные характеристики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на среднесрочный период</w:t>
      </w:r>
    </w:p>
    <w:p w:rsidR="0033056E" w:rsidRDefault="0033056E">
      <w:pPr>
        <w:rPr>
          <w:sz w:val="28"/>
          <w:szCs w:val="28"/>
        </w:rPr>
      </w:pPr>
    </w:p>
    <w:p w:rsidR="0033056E" w:rsidRDefault="000917B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Основные параметры Прогноза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на 2026-2028 гг. разработаны на вариативной основе с учетом оценки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2024 году и основных параметров прогноза социально-экономического развития, приоритетов социально-экономического развития Новосибирской области на 2026 год и плановый период 2027 и 2028 годов, рассмотренных и одобренных на заседании Правительства Новосибирской области, Стратегии  социально-экономического развития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на период</w:t>
      </w:r>
      <w:proofErr w:type="gramEnd"/>
      <w:r>
        <w:rPr>
          <w:sz w:val="28"/>
          <w:szCs w:val="28"/>
        </w:rPr>
        <w:t xml:space="preserve"> до 2030 года, утвержденной Решением </w:t>
      </w:r>
      <w:proofErr w:type="gramStart"/>
      <w:r>
        <w:rPr>
          <w:sz w:val="28"/>
          <w:szCs w:val="28"/>
        </w:rPr>
        <w:t xml:space="preserve">Совета депутатов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</w:t>
      </w:r>
      <w:proofErr w:type="gramEnd"/>
      <w:r>
        <w:rPr>
          <w:sz w:val="28"/>
          <w:szCs w:val="28"/>
        </w:rPr>
        <w:t xml:space="preserve"> от  26.02.2020  № 314.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По оценке в 2025 г. в городе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планируется дальнейшее снижение численности населения. Снижение темпов прироста численности населения происходит как за счет естественной убыли населения, т.е. превышения количества смертей над числом рождений, так и за счет отсутствия значительного притока населения в город. </w:t>
      </w:r>
      <w:proofErr w:type="gramStart"/>
      <w:r>
        <w:rPr>
          <w:sz w:val="28"/>
          <w:szCs w:val="28"/>
        </w:rPr>
        <w:t>В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связи со сложившейся неблагоприятной демографической ситуацией, основной стратегической задачей на перспективу развития города должны стать стабилизация, а в последствии и рост всех сфер экономики, развитие промышленности, малого и среднего предпринимательства, расширение рынка труда, вовлечение в трудовую деятельность безработных за счет создания новых рабочих мест, развитие социальной инфраструктуры города, улучшение социальных и бытовых условий граждан.</w:t>
      </w:r>
      <w:proofErr w:type="gramEnd"/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концу 2025 года во всех отраслях экономики города численность занятых ожидается 25,9 тыс. человек, что составляет 84,1% от численности трудоспособного населения в трудоспособном возрасте города. 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>Средняя заработная плата по городу в 2025 году составит 87 201,6 рублей. Повышение уровня средней заработной платы работников в прогнозном периоде произойдет за счёт легализации заработной платы, получаемой в настоящее время в виде дополнительных выплат (неучтенные наличные денежные суммы, неофициальное трудоустройство), роста эффективности труда, применения ресурсосберегающих технологий, доведения оплаты труда до уровня средней заработной платы по видам экономической деятельности.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части оплаты труда работников бюджетного сектора в 2026 году будет продолжена реализация мер по повышению оплаты труда отдельных категорий персонала (врачи, средний и младший медицинский персонал, учителя и воспитатели, работники культуры, научно-исследовательский персонал) в соответствии с Указом Президента Российской Федерации от 07.05.2012 г. № 597 «О мероприятиях по реализации государственной социальной политики».</w:t>
      </w:r>
      <w:proofErr w:type="gramEnd"/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Основой благополучия города, наполняемости бюджета и обеспечение выполнения всех социальных программ является промышленный комплекс города. Именно промышленность позволяет городу сохранить уровень умеренного развития. В прогнозном периоде на фоне постепенного выхода экономики из кризисной ситуации, прогнозируется ежегодный рост объема отгруженных товаров промышленного производства.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Наибольший удельный вес в общем объеме производства промышленной продукции составляет продукция промышленности строительных материалов (45,9%). </w:t>
      </w:r>
    </w:p>
    <w:p w:rsidR="0033056E" w:rsidRDefault="000917B8">
      <w:pPr>
        <w:ind w:firstLine="709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По оценке совокупный 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«производство и распределение электроэнергии, газа и воды») в 2025 году составит 56,6 млрд. рублей, что выше уровня 2024 года на 0,7%, индекс промышленного производства – 96,3%. За период 2026-2028 годов прогнозируется динамичное развитие промышленного производства.</w:t>
      </w:r>
      <w:proofErr w:type="gramEnd"/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9 месяцев 2025 года удерживали позиции по производству продукции ведущие предприятия стройиндустрии: АО «</w:t>
      </w:r>
      <w:proofErr w:type="spellStart"/>
      <w:r>
        <w:rPr>
          <w:sz w:val="28"/>
          <w:szCs w:val="28"/>
        </w:rPr>
        <w:t>Искитимизвесть</w:t>
      </w:r>
      <w:proofErr w:type="spellEnd"/>
      <w:r>
        <w:rPr>
          <w:sz w:val="28"/>
          <w:szCs w:val="28"/>
        </w:rPr>
        <w:t>»,                ООО «</w:t>
      </w:r>
      <w:proofErr w:type="spellStart"/>
      <w:r>
        <w:rPr>
          <w:sz w:val="28"/>
          <w:szCs w:val="28"/>
        </w:rPr>
        <w:t>Брикстоун</w:t>
      </w:r>
      <w:proofErr w:type="spellEnd"/>
      <w:r>
        <w:rPr>
          <w:sz w:val="28"/>
          <w:szCs w:val="28"/>
        </w:rPr>
        <w:t>», ООО ПК «Кристалл», ООО «ЗЖБИ-13». Наибольший вклад в развитие строительной отрасли вносит АО «</w:t>
      </w:r>
      <w:proofErr w:type="spellStart"/>
      <w:r>
        <w:rPr>
          <w:sz w:val="28"/>
          <w:szCs w:val="28"/>
        </w:rPr>
        <w:t>Искитимцемент</w:t>
      </w:r>
      <w:proofErr w:type="spellEnd"/>
      <w:r>
        <w:rPr>
          <w:sz w:val="28"/>
          <w:szCs w:val="28"/>
        </w:rPr>
        <w:t xml:space="preserve">» - его объем составляет 57,5% от общего объема произведенной продукции строительных материалов.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промышленных предприятий в числе актуальных задач на 2026 год остаются сохранение объемов производства на уровне 2025 года, модернизация и технологическое обновление, оптимизация затрат, рациональное использование ресурсов, сохранение производственного и кадрового потенциала, обеспечение опережающих темпов роста производительности труда.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Инвестиции. Строительство</w:t>
      </w:r>
    </w:p>
    <w:p w:rsidR="0033056E" w:rsidRDefault="000917B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2025 году, по оценке, объем инвестиций в основной капитал за счет всех источников финансирования по полному кругу предприятий ожидается в сумме 2 481,9 млн. руб., к 2024 году в сопоставимых ценах составит 53,6%.</w:t>
      </w:r>
    </w:p>
    <w:p w:rsidR="0033056E" w:rsidRDefault="000917B8">
      <w:pPr>
        <w:tabs>
          <w:tab w:val="left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планируемом периоде ожидается рост объема инвестиций в основном за счет расширения производства и технического перевооружения АО «НЗИВ», а также модернизации производственных процессов АО «</w:t>
      </w:r>
      <w:proofErr w:type="spellStart"/>
      <w:r>
        <w:rPr>
          <w:sz w:val="28"/>
          <w:szCs w:val="28"/>
        </w:rPr>
        <w:t>Искитимцемент</w:t>
      </w:r>
      <w:proofErr w:type="spellEnd"/>
      <w:r>
        <w:rPr>
          <w:sz w:val="28"/>
          <w:szCs w:val="28"/>
        </w:rPr>
        <w:t>» и АО «</w:t>
      </w:r>
      <w:proofErr w:type="spellStart"/>
      <w:r>
        <w:rPr>
          <w:sz w:val="28"/>
          <w:szCs w:val="28"/>
        </w:rPr>
        <w:t>Искитимизвесть</w:t>
      </w:r>
      <w:proofErr w:type="spellEnd"/>
      <w:r>
        <w:rPr>
          <w:sz w:val="28"/>
          <w:szCs w:val="28"/>
        </w:rPr>
        <w:t>».</w:t>
      </w:r>
    </w:p>
    <w:p w:rsidR="0033056E" w:rsidRDefault="000917B8">
      <w:pPr>
        <w:tabs>
          <w:tab w:val="left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Инвестиции из бюджетов  всех уровней будут направлены в социальную сферу, в сферу жилищно-коммунального хозяйства и ремонт автомобильных дорог города.  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b/>
          <w:sz w:val="24"/>
          <w:szCs w:val="28"/>
        </w:rPr>
        <w:t xml:space="preserve">  </w:t>
      </w:r>
      <w:r>
        <w:rPr>
          <w:sz w:val="28"/>
          <w:szCs w:val="28"/>
        </w:rPr>
        <w:t xml:space="preserve">Значительный объем бюджетных инвестиций в прогнозном периоде планируется  направить на строительство котельной Южного микрорайона и микрорайона Ложок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>.</w:t>
      </w:r>
    </w:p>
    <w:p w:rsidR="0033056E" w:rsidRDefault="000917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 2026 – 2028 годы планируется ввести в городе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45,0 тыс.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жилья.</w:t>
      </w:r>
    </w:p>
    <w:p w:rsidR="0033056E" w:rsidRDefault="000917B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Торговля и услуги</w:t>
      </w:r>
    </w:p>
    <w:p w:rsidR="0033056E" w:rsidRDefault="000917B8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Несмотря на сложную экономическую ситуацию, в 2025 году индекс физического объема розничного товарооборота составит 102,2% к уровню 2024 года. </w:t>
      </w:r>
      <w:proofErr w:type="gramStart"/>
      <w:r>
        <w:rPr>
          <w:sz w:val="28"/>
          <w:szCs w:val="28"/>
        </w:rPr>
        <w:t>Начиная с 2026 года ожидается рост индекса</w:t>
      </w:r>
      <w:proofErr w:type="gramEnd"/>
      <w:r>
        <w:rPr>
          <w:sz w:val="28"/>
          <w:szCs w:val="28"/>
        </w:rPr>
        <w:t xml:space="preserve"> оборота розничной торговли. В 2026 году индекс физического объема составит 103,9%, в 2027 и 2028 годах – 102,5%. К концу 2028 года оборот розничной торговли достигнет 11 849,8 млн. руб.</w:t>
      </w:r>
    </w:p>
    <w:p w:rsidR="0033056E" w:rsidRDefault="000917B8">
      <w:pPr>
        <w:ind w:firstLine="709"/>
        <w:jc w:val="both"/>
        <w:rPr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Учитывая рост заработной платы, в 2025-2028 годах ожидается рост объема платных услуг. По оценке 2025 года объем платных услуг возрастет к уровню прошлого года и составит 2 781,5 млн. руб., а к концу 2028 года достигнет 3 648,6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33056E" w:rsidRDefault="000917B8">
      <w:pPr>
        <w:rPr>
          <w:color w:val="C00000"/>
          <w:sz w:val="28"/>
        </w:rPr>
        <w:sectPr w:rsidR="0033056E">
          <w:pgSz w:w="11906" w:h="16838"/>
          <w:pgMar w:top="1134" w:right="567" w:bottom="851" w:left="709" w:header="0" w:footer="0" w:gutter="0"/>
          <w:cols w:space="720"/>
          <w:formProt w:val="0"/>
          <w:titlePg/>
          <w:docGrid w:linePitch="212" w:charSpace="8192"/>
        </w:sectPr>
      </w:pPr>
      <w:r>
        <w:br w:type="page"/>
      </w:r>
    </w:p>
    <w:p w:rsidR="0033056E" w:rsidRDefault="000917B8">
      <w:pPr>
        <w:pStyle w:val="af2"/>
        <w:widowControl w:val="0"/>
        <w:numPr>
          <w:ilvl w:val="0"/>
          <w:numId w:val="17"/>
        </w:num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Основные параметры муниципальных программ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предлагаемых к финансированию </w:t>
      </w:r>
    </w:p>
    <w:p w:rsidR="0033056E" w:rsidRDefault="000917B8">
      <w:pPr>
        <w:widowControl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в 2026 году и плановом периоде 2027 и 2028 годов</w:t>
      </w:r>
    </w:p>
    <w:p w:rsidR="0033056E" w:rsidRDefault="0033056E">
      <w:pPr>
        <w:widowControl w:val="0"/>
        <w:jc w:val="center"/>
        <w:outlineLvl w:val="2"/>
        <w:rPr>
          <w:sz w:val="28"/>
          <w:szCs w:val="28"/>
        </w:rPr>
      </w:pPr>
    </w:p>
    <w:tbl>
      <w:tblPr>
        <w:tblW w:w="1573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6804"/>
        <w:gridCol w:w="91"/>
        <w:gridCol w:w="1593"/>
        <w:gridCol w:w="2121"/>
        <w:gridCol w:w="2121"/>
        <w:gridCol w:w="2155"/>
      </w:tblGrid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измерения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малого и среднего предпринимательства в городе </w:t>
            </w:r>
            <w:proofErr w:type="spellStart"/>
            <w:r>
              <w:rPr>
                <w:sz w:val="28"/>
                <w:szCs w:val="28"/>
              </w:rPr>
              <w:t>Искитиме</w:t>
            </w:r>
            <w:proofErr w:type="spellEnd"/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субъектов малого и среднего предпринимательства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1 739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1 751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занятых на малых и средних предприятиях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6 831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6 905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объема 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 xml:space="preserve"> и СП в общем объеме выпуска товаров, работ, услуг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 xml:space="preserve"> и СП, получивших муниципальную поддержку в рамках реализации мероприятий муниципальной программы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молодежной политики в городе </w:t>
            </w:r>
            <w:proofErr w:type="spellStart"/>
            <w:r>
              <w:rPr>
                <w:sz w:val="28"/>
                <w:szCs w:val="28"/>
              </w:rPr>
              <w:t>Искитиме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14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числа молодежи, вовлеченной в социально-экономическую, общественно-политическую и культурную жизнь города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12 130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12 420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48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числа молодежи, вовлеченной в мероприятия, акции по профилактике наркомании, алкоголизма, курения, пропаганде здорового образа жизни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2 880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жилищно-коммунального хозяйства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Удовлетворенность населения города деятельностью Главы в сфере жилищно-коммунального обслуживания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общей площади жилого фонда, оборудованного водопроводом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общей площади жилого фонда, оборудованного горячим водоснабжением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Удельный вес общей площади жилого фонда, оборудованного центральным отоплением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Удельный вес общей площади жилого фонда, оборудованного водоотведением (канализацией)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Уровень газификации жилищного фонда в г. </w:t>
            </w:r>
            <w:proofErr w:type="spellStart"/>
            <w:r>
              <w:rPr>
                <w:sz w:val="28"/>
                <w:szCs w:val="28"/>
              </w:rPr>
              <w:t>Искитиме</w:t>
            </w:r>
            <w:proofErr w:type="spellEnd"/>
            <w:r>
              <w:rPr>
                <w:sz w:val="28"/>
                <w:szCs w:val="28"/>
              </w:rPr>
              <w:t xml:space="preserve"> природным газом (из расчетной потребности)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муниципального задания МБУ «</w:t>
            </w:r>
            <w:proofErr w:type="spellStart"/>
            <w:r>
              <w:rPr>
                <w:sz w:val="28"/>
                <w:szCs w:val="28"/>
              </w:rPr>
              <w:t>УБиДХ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Снос аварийных жилых домов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</w:t>
            </w:r>
            <w:proofErr w:type="gramStart"/>
            <w:r>
              <w:rPr>
                <w:sz w:val="28"/>
                <w:szCs w:val="28"/>
              </w:rPr>
              <w:t xml:space="preserve">системы образования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  <w:proofErr w:type="gramEnd"/>
          </w:p>
        </w:tc>
      </w:tr>
      <w:tr w:rsidR="0033056E">
        <w:trPr>
          <w:trHeight w:val="104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1-7 лет, стоящих на учете для определения в МДОУ, в общей численности детей в возрасте 1-7 лет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1-7 лет, получающих дошкольное образование, в общей численности детей в возрасте 1-7 лет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выпускников, не получивших аттестаты об основном общем образовании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выпускников, не получивших аттестаты о среднем общем образовании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0,7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0,7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0,7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выпускников 11-х классов, выбравших математику профильного уровня и предметы </w:t>
            </w:r>
            <w:proofErr w:type="gramStart"/>
            <w:r>
              <w:rPr>
                <w:sz w:val="28"/>
                <w:szCs w:val="28"/>
              </w:rPr>
              <w:t>естественно-научного</w:t>
            </w:r>
            <w:proofErr w:type="gramEnd"/>
            <w:r>
              <w:rPr>
                <w:sz w:val="28"/>
                <w:szCs w:val="28"/>
              </w:rPr>
              <w:t xml:space="preserve"> направления для прохождения ГИА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ОО, </w:t>
            </w:r>
            <w:proofErr w:type="gramStart"/>
            <w:r>
              <w:rPr>
                <w:sz w:val="28"/>
                <w:szCs w:val="28"/>
              </w:rPr>
              <w:t>улучшивших</w:t>
            </w:r>
            <w:proofErr w:type="gramEnd"/>
            <w:r>
              <w:rPr>
                <w:sz w:val="28"/>
                <w:szCs w:val="28"/>
              </w:rPr>
              <w:t xml:space="preserve"> эффективность работы по профилактике учебной </w:t>
            </w:r>
            <w:proofErr w:type="spellStart"/>
            <w:r>
              <w:rPr>
                <w:sz w:val="28"/>
                <w:szCs w:val="28"/>
              </w:rPr>
              <w:t>неуспешности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5 по 17 (включительно) лет, в том числе детей с ОВЗ и детей-инвалидов, охваченных дополнительными общеразвивающими программами (</w:t>
            </w:r>
            <w:proofErr w:type="gramStart"/>
            <w:r>
              <w:rPr>
                <w:sz w:val="28"/>
                <w:szCs w:val="28"/>
              </w:rPr>
              <w:t>ДОП</w:t>
            </w:r>
            <w:proofErr w:type="gramEnd"/>
            <w:r>
              <w:rPr>
                <w:sz w:val="28"/>
                <w:szCs w:val="28"/>
              </w:rPr>
              <w:t>), в общей численности детей в возрасте от 5 по 17 (включительно) лет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5 по 17 (включительно) лет, обеспеченных социальными сертификатами (с номиналом), в общей численности детей в возрасте от 5 по 17 (включительно) лет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proofErr w:type="gramStart"/>
            <w:r>
              <w:rPr>
                <w:sz w:val="28"/>
                <w:szCs w:val="28"/>
              </w:rPr>
              <w:t>ДОП</w:t>
            </w:r>
            <w:proofErr w:type="gramEnd"/>
            <w:r>
              <w:rPr>
                <w:sz w:val="28"/>
                <w:szCs w:val="28"/>
              </w:rPr>
              <w:t xml:space="preserve"> естественнонаучной и технической направленностей в общей численности реализуемых ДОП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  <w:r>
              <w:rPr>
                <w:color w:val="C00000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ДОП</w:t>
            </w:r>
            <w:proofErr w:type="gramEnd"/>
            <w:r>
              <w:rPr>
                <w:sz w:val="28"/>
                <w:szCs w:val="28"/>
              </w:rPr>
              <w:t xml:space="preserve"> естественнонаучной и технической </w:t>
            </w:r>
            <w:r>
              <w:rPr>
                <w:sz w:val="28"/>
                <w:szCs w:val="28"/>
              </w:rPr>
              <w:lastRenderedPageBreak/>
              <w:t>направленностей, разработанных для обучающихся 1-4 классов с учетом актуальной технологической повестки в расчете на 200 обучающихся 1-4 классов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общеобразовательных организаций, создавших технологические кружки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ДОП</w:t>
            </w:r>
            <w:proofErr w:type="gramEnd"/>
            <w:r>
              <w:rPr>
                <w:sz w:val="28"/>
                <w:szCs w:val="28"/>
              </w:rPr>
              <w:t xml:space="preserve"> социально-гуманитарной направленности, реализованных на базе одного </w:t>
            </w:r>
            <w:proofErr w:type="spellStart"/>
            <w:r>
              <w:rPr>
                <w:sz w:val="28"/>
                <w:szCs w:val="28"/>
              </w:rPr>
              <w:t>медиацентра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tabs>
                <w:tab w:val="left" w:pos="284"/>
              </w:tabs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общеобразовательных организаций, реализующих </w:t>
            </w:r>
            <w:proofErr w:type="gramStart"/>
            <w:r>
              <w:rPr>
                <w:sz w:val="28"/>
                <w:szCs w:val="28"/>
              </w:rPr>
              <w:t>ДОП</w:t>
            </w:r>
            <w:proofErr w:type="gramEnd"/>
            <w:r>
              <w:rPr>
                <w:sz w:val="28"/>
                <w:szCs w:val="28"/>
              </w:rPr>
              <w:t xml:space="preserve"> по театральному творчеству в школьных театрах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общеобразовательных организаций, имеющих участников отборочного этапа Всероссийского конкурса научно-технологических проектов «Большие вызовы»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обучающихся 5-7 классов, принявших участие в отборочном этапе НТО </w:t>
            </w:r>
            <w:proofErr w:type="spellStart"/>
            <w:r>
              <w:rPr>
                <w:sz w:val="28"/>
                <w:szCs w:val="28"/>
              </w:rPr>
              <w:t>Junior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207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230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235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обучающихся 8-11 классов, принявших участие в отборочном этапе НТО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181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201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205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обучающихся 5-11 классов, принявших участие в </w:t>
            </w:r>
            <w:proofErr w:type="gramStart"/>
            <w:r>
              <w:rPr>
                <w:sz w:val="28"/>
                <w:szCs w:val="28"/>
              </w:rPr>
              <w:t>заочном</w:t>
            </w:r>
            <w:proofErr w:type="gramEnd"/>
            <w:r>
              <w:rPr>
                <w:sz w:val="28"/>
                <w:szCs w:val="28"/>
              </w:rPr>
              <w:t xml:space="preserve"> РЭ </w:t>
            </w:r>
            <w:proofErr w:type="spellStart"/>
            <w:r>
              <w:rPr>
                <w:sz w:val="28"/>
                <w:szCs w:val="28"/>
              </w:rPr>
              <w:t>АгроНТРИ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129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172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175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4.18</w:t>
            </w:r>
            <w:r>
              <w:rPr>
                <w:color w:val="C00000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обучающихся с ОВЗ и детей-инвалидов в 8-9-х </w:t>
            </w:r>
            <w:r>
              <w:rPr>
                <w:sz w:val="28"/>
                <w:szCs w:val="28"/>
              </w:rPr>
              <w:lastRenderedPageBreak/>
              <w:t xml:space="preserve">классах общеобразовательных организаций, принявших участие в мероприятиях </w:t>
            </w:r>
            <w:proofErr w:type="spellStart"/>
            <w:r>
              <w:rPr>
                <w:sz w:val="28"/>
                <w:szCs w:val="28"/>
              </w:rPr>
              <w:t>профориентационной</w:t>
            </w:r>
            <w:proofErr w:type="spellEnd"/>
            <w:r>
              <w:rPr>
                <w:sz w:val="28"/>
                <w:szCs w:val="28"/>
              </w:rPr>
              <w:t xml:space="preserve"> программы чемпионата «</w:t>
            </w:r>
            <w:proofErr w:type="spellStart"/>
            <w:r>
              <w:rPr>
                <w:sz w:val="28"/>
                <w:szCs w:val="28"/>
              </w:rPr>
              <w:t>Абилимпикс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договоров о целевом </w:t>
            </w:r>
            <w:proofErr w:type="gramStart"/>
            <w:r>
              <w:rPr>
                <w:sz w:val="28"/>
                <w:szCs w:val="28"/>
              </w:rPr>
              <w:t>обучении по направлениям</w:t>
            </w:r>
            <w:proofErr w:type="gramEnd"/>
            <w:r>
              <w:rPr>
                <w:sz w:val="28"/>
                <w:szCs w:val="28"/>
              </w:rPr>
              <w:t xml:space="preserve"> подготовки (специальностям) высшего педагогического образования, заключенных образовательными организациями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вакантных должностей от общего числа педагогических работников и управленческих кадров в образовательных организациях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более 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более 4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педагогов, имеющих первую или высшую квалификационные категории, в общей численности педагогов, участвующих в реализации основных образовательных программ дошкольного, общего и дополнительного образования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Доля учителей, работающих в системе общего образования, повысивших квалификацию на базе ведущих классических, инженерно-технических образовательных организаций высшего образования и научных организаций, в том числе в форме стажировок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30 ежегодно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30 ежегодно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30 ежегодно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Доля общеобразовательных организаций, имеющих доступ к цифровой (электронной) библиотеке, в общем числе общеобразовательных организаций и использующих её в образовательной деятельности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4.24.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обучающихся по программам начального общего, основного общего и среднего общего образования, обучение которых происходит в 1-ю смену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общеобразовательных организаций, в которых функционируют штабы воспитательной работы (иные органы координации воспитательной работы)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обучающихся, вовлеченных в движение «</w:t>
            </w:r>
            <w:proofErr w:type="spellStart"/>
            <w:r>
              <w:rPr>
                <w:sz w:val="28"/>
                <w:szCs w:val="28"/>
              </w:rPr>
              <w:t>Юнармия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, вовлеченных в волонтерское и добровольческое движение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42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45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общеобразовательных организаций, реализующих основной уровень </w:t>
            </w:r>
            <w:proofErr w:type="spellStart"/>
            <w:r>
              <w:rPr>
                <w:sz w:val="28"/>
                <w:szCs w:val="28"/>
              </w:rPr>
              <w:t>профориентационного</w:t>
            </w:r>
            <w:proofErr w:type="spellEnd"/>
            <w:r>
              <w:rPr>
                <w:sz w:val="28"/>
                <w:szCs w:val="28"/>
              </w:rPr>
              <w:t xml:space="preserve"> минимума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общеобразовательных организаций, реализующих продвинутый уровень </w:t>
            </w:r>
            <w:proofErr w:type="spellStart"/>
            <w:r>
              <w:rPr>
                <w:sz w:val="28"/>
                <w:szCs w:val="28"/>
              </w:rPr>
              <w:t>профориентационного</w:t>
            </w:r>
            <w:proofErr w:type="spellEnd"/>
            <w:r>
              <w:rPr>
                <w:sz w:val="28"/>
                <w:szCs w:val="28"/>
              </w:rPr>
              <w:t xml:space="preserve"> минимума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обучающихся 6-11 классов, посетивших экскурсии на предприятия в рамках Единой модели профориентации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50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50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50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общеобразовательных организаций, создавших центры детских инициатив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обучающихся и воспитанников, охваченных летней оздоровительной кампанией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обучающихся и воспитанников, находящихся в сложной жизненной ситуации, охваченных летней </w:t>
            </w:r>
            <w:r>
              <w:rPr>
                <w:sz w:val="28"/>
                <w:szCs w:val="28"/>
              </w:rPr>
              <w:lastRenderedPageBreak/>
              <w:t>оздоровительной кампанией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Доля обучающихся, охваченных горячим питанием в общеобразовательных организациях</w:t>
            </w:r>
            <w:proofErr w:type="gramEnd"/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образовательных организаций, соответствующих установленным нормативным требованиям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образовательных организаций, соответствующих требованиям оснащения медицинских кабинетов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населения и территории от чрезвычайных ситуаций, обеспечения пожарной безопасности и безопасности людей на водных объектах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аварийных остановок оконечных устройств МАСЦО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количества погибших людей на пожарах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количества погибших людей воде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Количество подготовленных руководителей и специалистов, работающих в системе ГОЧС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созданных резервов финансовых и материальных ресурсов для ликвидации ЧС  и первоочередного жизнеобеспечения населения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Выполнение муниципального задания МБУ «СГЗН»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Профилактика терроризма и экстремизма на территории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обученных должностных лиц, ответственных за реализацию мероприятий в области противодействия терроризма и экстремизма на территории города </w:t>
            </w:r>
            <w:proofErr w:type="spellStart"/>
            <w:r>
              <w:rPr>
                <w:sz w:val="28"/>
                <w:szCs w:val="28"/>
                <w:lang w:eastAsia="en-US"/>
              </w:rPr>
              <w:t>Искитима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 в год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6.2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проведенных мероприятий, направленных по разъяснению сущности терроризма и экстремизма и их общественной опасности, а также по формированию у граждан непринятия идеологии терроризма и экстремизма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мероприятий, направленных на воспитание взаимоуважения на основе ценностей многонационального российского общества через систему образования, профилактика терроризма и экстремизма, правонарушений в молодёжной среде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объектов, находящихся в муниципальной собственности, соответствующих требованиям отраслевых постановлений Правительства Российской Федерации, регламентирующих вопросы антитеррористической защищенности объектов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физической культуры и спорта в городе </w:t>
            </w:r>
            <w:proofErr w:type="spellStart"/>
            <w:r>
              <w:rPr>
                <w:sz w:val="28"/>
                <w:szCs w:val="28"/>
              </w:rPr>
              <w:t>Искитиме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в возрасте 3 - 29 лет,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спортом, в </w:t>
            </w:r>
            <w:r>
              <w:rPr>
                <w:sz w:val="28"/>
                <w:szCs w:val="28"/>
              </w:rPr>
              <w:lastRenderedPageBreak/>
              <w:t>общей численности граждан данной возрастной категории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3 - 79 лет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проведенных</w:t>
            </w:r>
            <w:proofErr w:type="gramEnd"/>
            <w:r>
              <w:rPr>
                <w:sz w:val="28"/>
                <w:szCs w:val="28"/>
              </w:rPr>
              <w:t xml:space="preserve"> официальных</w:t>
            </w:r>
          </w:p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городских, областных, региональных</w:t>
            </w:r>
          </w:p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физкультурных и спортивных мероприятий, и</w:t>
            </w:r>
          </w:p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едином календарном плане</w:t>
            </w:r>
          </w:p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областных, региональных физкультурно-спортивных мероприятий.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7.7.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обеспеченности населения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7.8.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объектов физической культуры и спорта, в которых укреплена материально-техническая база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7.9.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жителей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>, выполнивших нормативы Всероссийского физкультурно-оздоровительного комплекса "Готов к труду и обороне" (ГТО), в общей численности жителей, принявших участие в сдаче данных нормативов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52,3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досуга, отдыха и оздоровления детей, а также иных категорий граждан на территории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охваченных организованными формами отдыха и оздоровления в каникулярное время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p17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детей, находящихся в трудной жизненной ситуации, охваченных организованными формами отдыха и оздоровления в каникулярное время</w:t>
            </w:r>
          </w:p>
          <w:p w:rsidR="0033056E" w:rsidRDefault="0033056E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взрослых граждан (старше 18), вовлеченных в организованные формы досуга, отдыха и оздоровления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МАУ «ЦО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«Лесная сказка», в которых укреплена и модернизирована материально-техническая база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в год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Патриотическое воспитание граждан в городе </w:t>
            </w:r>
            <w:proofErr w:type="spellStart"/>
            <w:r>
              <w:rPr>
                <w:sz w:val="28"/>
                <w:szCs w:val="28"/>
              </w:rPr>
              <w:t>Искитиме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членов местного отделения ВВПОД «</w:t>
            </w:r>
            <w:proofErr w:type="spellStart"/>
            <w:r>
              <w:rPr>
                <w:sz w:val="28"/>
                <w:szCs w:val="28"/>
              </w:rPr>
              <w:t>Юнармия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принявших участие в мероприятиях патриотической направленности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12 377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12 672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73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качества обслуживания и обеспечение доступности услуг общественного пассажирского транспорта для населения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18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поездок на 1 человека в год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поездки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103,03</w:t>
            </w:r>
          </w:p>
        </w:tc>
      </w:tr>
      <w:tr w:rsidR="0033056E">
        <w:trPr>
          <w:trHeight w:val="18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10.2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(обновленных) автобусов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льготных пассажиров, перевезенных городским пассажирским транспортом, от общего количества </w:t>
            </w:r>
            <w:r>
              <w:rPr>
                <w:sz w:val="28"/>
                <w:szCs w:val="28"/>
              </w:rPr>
              <w:lastRenderedPageBreak/>
              <w:t>перевезенных пассажиров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Удовлетворенность населения деятельностью главы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в сфере организации транспортного обслуживания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населения о деятельности органов местного самоуправления на территории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НПА, </w:t>
            </w:r>
            <w:proofErr w:type="gramStart"/>
            <w:r>
              <w:rPr>
                <w:sz w:val="28"/>
                <w:szCs w:val="28"/>
              </w:rPr>
              <w:t>опубликованных</w:t>
            </w:r>
            <w:proofErr w:type="gramEnd"/>
            <w:r>
              <w:rPr>
                <w:sz w:val="28"/>
                <w:szCs w:val="28"/>
              </w:rPr>
              <w:t xml:space="preserve"> в газете «</w:t>
            </w:r>
            <w:proofErr w:type="spellStart"/>
            <w:r>
              <w:rPr>
                <w:sz w:val="28"/>
                <w:szCs w:val="28"/>
              </w:rPr>
              <w:t>Искитимские</w:t>
            </w:r>
            <w:proofErr w:type="spellEnd"/>
            <w:r>
              <w:rPr>
                <w:sz w:val="28"/>
                <w:szCs w:val="28"/>
              </w:rPr>
              <w:t xml:space="preserve"> ведомости» и на официальном сайте администрации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>, от числа утвержденных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ежедневных новостных материалов, размещаемых на официальном сайте администрации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информационно-аналитических телепередач, вышедших в эфир, с участием органов местного самоуправления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трансляций на телевидении заказных сюжетов в программе «Новости»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встреч, проведенных представителями органов местного самоуправления, с населением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Поддержка территориального общественного самоуправления, инициативных групп граждан, социально ориентированных некоммерческих организаций на территории города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Искитима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Normal0"/>
              <w:ind w:left="1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семинаров, тренингов, мастер-классов, консультаций, направленных на повышение профессионализма активистов ТОС,  инициативных групп граждан, представителей СО НКО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информационных материалов, опубликованных на официальном сайте администрации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и (или) в социальных сетях, посвященных деятельности ТОС, инициативных групп граждан, СО НКО;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сообщений в СМИ о деятельности ТОС, инициативных групп граждан, СО НКО, реализующих социально значимые инициативы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ТОС,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зарегистрированных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города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Искитима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населения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>, проживающего на территории, охваченной деятельностью ТОС, инициативных групп граждан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населения, участвующего в деятельности СО НКО, инициативных групп граждан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12.7.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органов ТОС, инициативных групп граждан, СО НКО, подавших заявки на участие в конкурсах социально значимых проектов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12.8.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представителей ТОС, СО НКО, инициативных групп граждан, принявших участие в городских мероприятиях, направленных на повышение мотивации граждан к активной деятельности и эффективному взаимодействию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14 000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12.9.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органов ТОС, СО НКО, инициативных групп граждан – получателей имущественной и финансовой поддержки на осуществление ими деятельности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12.10.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социально значимых мероприятий, организованных органами ТОС, СО НСО, инициативными группами граждан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Охрана окружающей среды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рейдов по транспортировке сыпучих материалов автотранспортом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right="-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утилизированных отходов 1 класса опасности, образующихся у населения города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left="-67" w:right="-149" w:firstLine="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left="-67" w:right="-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ind w:left="-67" w:right="-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0,326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утилизированных отходов 2 класса опасности, образующихся у населения города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территорий города, подвергнутых санитарной очистке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Количество выпусков ежегодного доклада «О состоянии окружающей среды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3056E">
        <w:trPr>
          <w:trHeight w:val="87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мероприятий по развитию экологического образования и просвещения детей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доступности услуг общественных бань для населения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</w:t>
            </w:r>
            <w:proofErr w:type="spellStart"/>
            <w:r>
              <w:rPr>
                <w:sz w:val="28"/>
                <w:szCs w:val="28"/>
              </w:rPr>
              <w:t>помывок</w:t>
            </w:r>
            <w:proofErr w:type="spellEnd"/>
            <w:r>
              <w:rPr>
                <w:sz w:val="28"/>
                <w:szCs w:val="28"/>
              </w:rPr>
              <w:t xml:space="preserve"> в год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7 070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7 150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proofErr w:type="spellStart"/>
            <w:r>
              <w:rPr>
                <w:sz w:val="28"/>
                <w:szCs w:val="28"/>
              </w:rPr>
              <w:t>помывок</w:t>
            </w:r>
            <w:proofErr w:type="spellEnd"/>
            <w:r>
              <w:rPr>
                <w:sz w:val="28"/>
                <w:szCs w:val="28"/>
              </w:rPr>
              <w:t xml:space="preserve">, предоставленных льготным категориям граждан, от общего объема </w:t>
            </w:r>
            <w:proofErr w:type="spellStart"/>
            <w:r>
              <w:rPr>
                <w:sz w:val="28"/>
                <w:szCs w:val="28"/>
              </w:rPr>
              <w:t>помывок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помещений в зданиях общественных бань, находящихся в удовлетворительном состоянии (не требующих противоаварийных и восстановительных работ)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дней простоя в работе общественных бань в связи с возникновением аварийных ситуаций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жалоб по качеству предоставленных услуг общественных бань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дорожного хозяйства и повышение безопасности дорожного движения на автомобильных дорогах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Удовлетворенность населения города деятельностью Главы города в сфере качества автомобильных дорог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Протяженность участков автомобильных дорог общего пользования местного значения, приведенных в соответствие современным требованиям.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км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Количество пешеходных переходов, обустроенных в соответствии с нормативами на дорогах общего пользования.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Снижение уровня аварийности пассажирских перевозок путем повышения безопасности дорожного движения на автомобильных дорогах.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Переселение граждан из аварийного жилищного фонда на 2024-2026 годы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переселенных жителей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Общая площадь расселенных жилых помещений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1 185,4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 города </w:t>
            </w:r>
            <w:proofErr w:type="spellStart"/>
            <w:r>
              <w:rPr>
                <w:sz w:val="28"/>
                <w:szCs w:val="28"/>
              </w:rPr>
              <w:t>Искитима</w:t>
            </w:r>
            <w:proofErr w:type="spellEnd"/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17.1.</w:t>
            </w: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Отношение средней заработной платы работников  культуры и преподавателей дополнительного образования города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Искитима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к средней заработной плате в Новосибирской области.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%                 (работники культуры)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33056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8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33056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%       (преподаватели дополнительного образования)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Уровень комплектования книжных фондов общедоступных библиотек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 от международного норматива (ЮНЕСКО)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(500 экз.)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(500 экз.)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(500 </w:t>
            </w:r>
            <w:proofErr w:type="spellStart"/>
            <w:proofErr w:type="gramStart"/>
            <w:r>
              <w:rPr>
                <w:sz w:val="28"/>
                <w:szCs w:val="28"/>
              </w:rPr>
              <w:t>экз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Доля зданий муниципальных учреждений культуры, находящихся в удовлетворительном состоянии (не требующих противоаварийных и восстановительных работ)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                                (от общего числа зданий учреждений культуры, 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Численность участников культурно-досуговых мероприятий (ДК, Парк)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                       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143772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145426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147171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культурно-досуговых мероприятий          (ДК, Парк)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ед.                  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детей, привлекаемых к участию в творческих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мероприятиях, в общем числе детей до 17 лет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%               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(от общей численности детей до 17 лет)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10,15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10,25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17.7.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Посещаемость музея города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Искитима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Новосибирской области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                       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37391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37958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38524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17.8.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проведенных в городе культурных мероприятий областного, всероссийского и международного уровня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ед.                  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17.9.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участников молодых талантов во всероссийских и международных творческих состязаниях.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                       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проведенных виртуальных экскурсий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ед.                    (ежегодно)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Социальная поддержка жителей города </w:t>
            </w:r>
            <w:proofErr w:type="spellStart"/>
            <w:r>
              <w:rPr>
                <w:bCs/>
                <w:sz w:val="28"/>
                <w:szCs w:val="28"/>
              </w:rPr>
              <w:t>Искитима</w:t>
            </w:r>
            <w:proofErr w:type="spellEnd"/>
            <w:r>
              <w:rPr>
                <w:bCs/>
                <w:sz w:val="28"/>
                <w:szCs w:val="28"/>
              </w:rPr>
              <w:t xml:space="preserve"> Новосибирской области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tabs>
                <w:tab w:val="left" w:pos="177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граждан пожилого возраста, вовлеченных в мероприятия по поддержанию их социальной активности и адаптации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семей с детьми, получивших социальные услуги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чел./</w:t>
            </w:r>
          </w:p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 500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 500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 500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оздоровленных детей, находящихся в трудной жизненной ситуации, от численности детей в возрасте 7-17 лет, проживающих в городе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Искитиме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Новосибирской области, находящихся в трудной жизненной ситуации, подлежащих оздоровлению, в текущем году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39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Доля приоритетных объектов, в которых обеспечен беспрепятственный доступ инвалидов и маломобильных групп населения, в общем количестве приоритетных объектов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инвалидов, получивших социальные услуги по различным направлениям в соответствии с индивидуальными программами реабилитации инвалида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Чел./</w:t>
            </w:r>
          </w:p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граждан, оказавшихся в трудной жизненной ситуации, получивших социальную поддержку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Чел./</w:t>
            </w:r>
          </w:p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18.7.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граждан, признанных нуждающимися в социальном обслуживании и получивших социальные услуги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Чел./</w:t>
            </w:r>
          </w:p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2000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2000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2000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4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современной городской среды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благоустроенных дворовых территорий в рамках муниципальной программы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единиц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19.2.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Доля благоустроенных дворовых территорий в рамках муниципальной программы от общего количества дворовых территорий, нуждающихся в благоустройстве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19.3.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благоустроенных общественных территорий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единиц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19.4.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Площадь благоустроенных общественных территорий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2516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19.5.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pStyle w:val="ConsPlusNormal0"/>
              <w:jc w:val="both"/>
              <w:rPr>
                <w:color w:val="C00000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Доля финансового участия заинтересованных лиц (собственников помещений многоквартирных домов, собственников иных зданий и сооружений, расположенных в границах дворовой территории,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подлежащей благоустройству) в выполнении дополнительного перечня работ по благоустройству дворовых территорий многоквартирных домов от общей стоимости работ дополнительного перечня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10</w:t>
            </w:r>
          </w:p>
        </w:tc>
      </w:tr>
      <w:tr w:rsidR="0033056E">
        <w:trPr>
          <w:trHeight w:val="33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19.6.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56E" w:rsidRDefault="000917B8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г.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Искитиме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6,5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6,5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56E" w:rsidRDefault="000917B8">
            <w:pPr>
              <w:widowControl w:val="0"/>
              <w:jc w:val="center"/>
              <w:rPr>
                <w:color w:val="C00000"/>
                <w:sz w:val="28"/>
              </w:rPr>
            </w:pPr>
            <w:r>
              <w:rPr>
                <w:sz w:val="28"/>
                <w:szCs w:val="28"/>
              </w:rPr>
              <w:t>Не менее 6,5</w:t>
            </w:r>
          </w:p>
        </w:tc>
      </w:tr>
    </w:tbl>
    <w:p w:rsidR="0033056E" w:rsidRDefault="0033056E">
      <w:pPr>
        <w:rPr>
          <w:color w:val="C00000"/>
          <w:sz w:val="28"/>
        </w:rPr>
      </w:pPr>
    </w:p>
    <w:sectPr w:rsidR="0033056E">
      <w:pgSz w:w="16838" w:h="11906" w:orient="landscape"/>
      <w:pgMar w:top="567" w:right="851" w:bottom="709" w:left="1134" w:header="0" w:footer="0" w:gutter="0"/>
      <w:cols w:space="720"/>
      <w:formProt w:val="0"/>
      <w:titlePg/>
      <w:docGrid w:linePitch="212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3212"/>
    <w:multiLevelType w:val="multilevel"/>
    <w:tmpl w:val="4DD671E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15087A5E"/>
    <w:multiLevelType w:val="multilevel"/>
    <w:tmpl w:val="56685148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EF6766F"/>
    <w:multiLevelType w:val="multilevel"/>
    <w:tmpl w:val="BE8EDB0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26484DD1"/>
    <w:multiLevelType w:val="multilevel"/>
    <w:tmpl w:val="0CECFCF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267647DC"/>
    <w:multiLevelType w:val="multilevel"/>
    <w:tmpl w:val="028AB21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285D33C5"/>
    <w:multiLevelType w:val="multilevel"/>
    <w:tmpl w:val="7528208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2DC069A2"/>
    <w:multiLevelType w:val="multilevel"/>
    <w:tmpl w:val="5D4816E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3E7C4981"/>
    <w:multiLevelType w:val="multilevel"/>
    <w:tmpl w:val="1BE8EF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46A15D2E"/>
    <w:multiLevelType w:val="multilevel"/>
    <w:tmpl w:val="E5BABE6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4869367E"/>
    <w:multiLevelType w:val="multilevel"/>
    <w:tmpl w:val="5D7CCFC0"/>
    <w:lvl w:ilvl="0">
      <w:start w:val="4"/>
      <w:numFmt w:val="decimal"/>
      <w:lvlText w:val="%1."/>
      <w:lvlJc w:val="left"/>
      <w:pPr>
        <w:tabs>
          <w:tab w:val="num" w:pos="0"/>
        </w:tabs>
        <w:ind w:left="205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7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9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1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3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5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7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9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19" w:hanging="180"/>
      </w:pPr>
    </w:lvl>
  </w:abstractNum>
  <w:abstractNum w:abstractNumId="10">
    <w:nsid w:val="492C550C"/>
    <w:multiLevelType w:val="multilevel"/>
    <w:tmpl w:val="FADA00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562632BD"/>
    <w:multiLevelType w:val="multilevel"/>
    <w:tmpl w:val="4E1E455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5C783A65"/>
    <w:multiLevelType w:val="multilevel"/>
    <w:tmpl w:val="0B04F7E0"/>
    <w:lvl w:ilvl="0">
      <w:start w:val="1"/>
      <w:numFmt w:val="decimal"/>
      <w:lvlText w:val="%1."/>
      <w:lvlJc w:val="left"/>
      <w:pPr>
        <w:tabs>
          <w:tab w:val="num" w:pos="0"/>
        </w:tabs>
        <w:ind w:left="1699" w:hanging="9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13">
    <w:nsid w:val="5C8931D9"/>
    <w:multiLevelType w:val="multilevel"/>
    <w:tmpl w:val="F9FCFF7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647471F4"/>
    <w:multiLevelType w:val="multilevel"/>
    <w:tmpl w:val="C68474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6BCA73E0"/>
    <w:multiLevelType w:val="multilevel"/>
    <w:tmpl w:val="5CB892E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793006C7"/>
    <w:multiLevelType w:val="multilevel"/>
    <w:tmpl w:val="4546F106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7">
    <w:nsid w:val="7F623297"/>
    <w:multiLevelType w:val="multilevel"/>
    <w:tmpl w:val="F1C0E0A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0"/>
  </w:num>
  <w:num w:numId="5">
    <w:abstractNumId w:val="17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13"/>
  </w:num>
  <w:num w:numId="14">
    <w:abstractNumId w:val="12"/>
  </w:num>
  <w:num w:numId="15">
    <w:abstractNumId w:val="16"/>
  </w:num>
  <w:num w:numId="16">
    <w:abstractNumId w:val="1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6E"/>
    <w:rsid w:val="000917B8"/>
    <w:rsid w:val="0033056E"/>
    <w:rsid w:val="0041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59287F"/>
    <w:rPr>
      <w:b/>
      <w:sz w:val="24"/>
    </w:rPr>
  </w:style>
  <w:style w:type="character" w:customStyle="1" w:styleId="20">
    <w:name w:val="Заголовок 2 Знак"/>
    <w:basedOn w:val="a0"/>
    <w:link w:val="20"/>
    <w:qFormat/>
    <w:rsid w:val="0059287F"/>
    <w:rPr>
      <w:b/>
      <w:sz w:val="22"/>
    </w:rPr>
  </w:style>
  <w:style w:type="character" w:customStyle="1" w:styleId="a3">
    <w:name w:val="Основной текст Знак"/>
    <w:basedOn w:val="a0"/>
    <w:qFormat/>
    <w:rsid w:val="0059287F"/>
    <w:rPr>
      <w:sz w:val="24"/>
    </w:rPr>
  </w:style>
  <w:style w:type="character" w:customStyle="1" w:styleId="a4">
    <w:name w:val="Верхний колонтитул Знак"/>
    <w:basedOn w:val="a0"/>
    <w:uiPriority w:val="99"/>
    <w:qFormat/>
    <w:rsid w:val="00E3079D"/>
  </w:style>
  <w:style w:type="character" w:styleId="a5">
    <w:name w:val="page number"/>
    <w:basedOn w:val="a0"/>
    <w:qFormat/>
  </w:style>
  <w:style w:type="character" w:customStyle="1" w:styleId="a6">
    <w:name w:val="Нижний колонтитул Знак"/>
    <w:basedOn w:val="a0"/>
    <w:uiPriority w:val="99"/>
    <w:qFormat/>
    <w:rsid w:val="0059287F"/>
  </w:style>
  <w:style w:type="character" w:customStyle="1" w:styleId="a7">
    <w:name w:val="Текст выноски Знак"/>
    <w:basedOn w:val="a0"/>
    <w:uiPriority w:val="99"/>
    <w:qFormat/>
    <w:rsid w:val="009D442B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qFormat/>
    <w:rsid w:val="00306B3C"/>
    <w:rPr>
      <w:b/>
      <w:bCs w:val="0"/>
      <w:color w:val="106BBE"/>
    </w:rPr>
  </w:style>
  <w:style w:type="character" w:styleId="a9">
    <w:name w:val="Hyperlink"/>
    <w:basedOn w:val="a0"/>
    <w:uiPriority w:val="99"/>
    <w:unhideWhenUsed/>
    <w:rsid w:val="00306B3C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"/>
    <w:qFormat/>
    <w:locked/>
    <w:rsid w:val="0059287F"/>
    <w:rPr>
      <w:rFonts w:ascii="Calibri" w:hAnsi="Calibri" w:cs="Calibri"/>
      <w:sz w:val="22"/>
    </w:rPr>
  </w:style>
  <w:style w:type="character" w:styleId="aa">
    <w:name w:val="Emphasis"/>
    <w:basedOn w:val="a0"/>
    <w:qFormat/>
    <w:rsid w:val="0059287F"/>
    <w:rPr>
      <w:i/>
      <w:iCs/>
    </w:rPr>
  </w:style>
  <w:style w:type="character" w:customStyle="1" w:styleId="3">
    <w:name w:val="Основной текст с отступом 3 Знак"/>
    <w:basedOn w:val="a0"/>
    <w:link w:val="30"/>
    <w:qFormat/>
    <w:rsid w:val="0059287F"/>
    <w:rPr>
      <w:sz w:val="16"/>
      <w:szCs w:val="16"/>
    </w:rPr>
  </w:style>
  <w:style w:type="character" w:customStyle="1" w:styleId="ab">
    <w:name w:val="Без интервала Знак"/>
    <w:uiPriority w:val="1"/>
    <w:qFormat/>
    <w:locked/>
    <w:rsid w:val="0059287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jc w:val="both"/>
    </w:pPr>
    <w:rPr>
      <w:sz w:val="24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pPr>
      <w:tabs>
        <w:tab w:val="center" w:pos="4153"/>
        <w:tab w:val="right" w:pos="8306"/>
      </w:tabs>
    </w:pPr>
  </w:style>
  <w:style w:type="paragraph" w:styleId="af0">
    <w:name w:val="footer"/>
    <w:basedOn w:val="a"/>
    <w:uiPriority w:val="99"/>
    <w:pPr>
      <w:tabs>
        <w:tab w:val="center" w:pos="4153"/>
        <w:tab w:val="right" w:pos="8306"/>
      </w:tabs>
    </w:pPr>
  </w:style>
  <w:style w:type="paragraph" w:styleId="af1">
    <w:name w:val="Balloon Text"/>
    <w:basedOn w:val="a"/>
    <w:uiPriority w:val="99"/>
    <w:qFormat/>
    <w:rsid w:val="009D442B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797B03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qFormat/>
    <w:rsid w:val="00306B3C"/>
    <w:pPr>
      <w:spacing w:beforeAutospacing="1" w:afterAutospacing="1"/>
    </w:pPr>
    <w:rPr>
      <w:sz w:val="24"/>
      <w:szCs w:val="24"/>
    </w:rPr>
  </w:style>
  <w:style w:type="paragraph" w:customStyle="1" w:styleId="ConsPlusNormal0">
    <w:name w:val="ConsPlusNormal"/>
    <w:qFormat/>
    <w:rsid w:val="00D61BA5"/>
    <w:pPr>
      <w:widowControl w:val="0"/>
    </w:pPr>
    <w:rPr>
      <w:rFonts w:ascii="Calibri" w:hAnsi="Calibri" w:cs="Calibri"/>
      <w:sz w:val="22"/>
    </w:rPr>
  </w:style>
  <w:style w:type="paragraph" w:customStyle="1" w:styleId="af3">
    <w:name w:val="Нормальный (таблица)"/>
    <w:basedOn w:val="a"/>
    <w:next w:val="a"/>
    <w:uiPriority w:val="99"/>
    <w:qFormat/>
    <w:rsid w:val="001D6AC6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30">
    <w:name w:val="Body Text Indent 3"/>
    <w:basedOn w:val="a"/>
    <w:link w:val="3"/>
    <w:unhideWhenUsed/>
    <w:qFormat/>
    <w:rsid w:val="0059287F"/>
    <w:pPr>
      <w:spacing w:after="120"/>
      <w:ind w:left="283"/>
    </w:pPr>
    <w:rPr>
      <w:sz w:val="16"/>
      <w:szCs w:val="16"/>
    </w:rPr>
  </w:style>
  <w:style w:type="paragraph" w:styleId="af4">
    <w:name w:val="No Spacing"/>
    <w:uiPriority w:val="1"/>
    <w:qFormat/>
    <w:rsid w:val="0059287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qFormat/>
    <w:rsid w:val="0059287F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p17">
    <w:name w:val="p17"/>
    <w:basedOn w:val="a"/>
    <w:qFormat/>
    <w:rsid w:val="0059287F"/>
    <w:pPr>
      <w:spacing w:beforeAutospacing="1" w:afterAutospacing="1"/>
    </w:pPr>
    <w:rPr>
      <w:sz w:val="24"/>
      <w:szCs w:val="24"/>
    </w:rPr>
  </w:style>
  <w:style w:type="paragraph" w:customStyle="1" w:styleId="ConsPlusTitle">
    <w:name w:val="ConsPlusTitle"/>
    <w:qFormat/>
    <w:rsid w:val="0059287F"/>
    <w:pPr>
      <w:widowControl w:val="0"/>
    </w:pPr>
    <w:rPr>
      <w:rFonts w:ascii="Calibri" w:hAnsi="Calibri" w:cs="Calibri"/>
      <w:b/>
      <w:sz w:val="22"/>
    </w:rPr>
  </w:style>
  <w:style w:type="paragraph" w:customStyle="1" w:styleId="4">
    <w:name w:val="Знак Знак4 Знак Знак Знак Знак"/>
    <w:basedOn w:val="a"/>
    <w:qFormat/>
    <w:rsid w:val="002B14CE"/>
    <w:pPr>
      <w:spacing w:after="160" w:line="240" w:lineRule="exact"/>
    </w:pPr>
    <w:rPr>
      <w:rFonts w:ascii="Verdana" w:hAnsi="Verdana"/>
      <w:lang w:val="en-US" w:eastAsia="en-US"/>
    </w:rPr>
  </w:style>
  <w:style w:type="table" w:styleId="af5">
    <w:name w:val="Table Grid"/>
    <w:basedOn w:val="a1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59287F"/>
    <w:rPr>
      <w:b/>
      <w:sz w:val="24"/>
    </w:rPr>
  </w:style>
  <w:style w:type="character" w:customStyle="1" w:styleId="20">
    <w:name w:val="Заголовок 2 Знак"/>
    <w:basedOn w:val="a0"/>
    <w:link w:val="20"/>
    <w:qFormat/>
    <w:rsid w:val="0059287F"/>
    <w:rPr>
      <w:b/>
      <w:sz w:val="22"/>
    </w:rPr>
  </w:style>
  <w:style w:type="character" w:customStyle="1" w:styleId="a3">
    <w:name w:val="Основной текст Знак"/>
    <w:basedOn w:val="a0"/>
    <w:qFormat/>
    <w:rsid w:val="0059287F"/>
    <w:rPr>
      <w:sz w:val="24"/>
    </w:rPr>
  </w:style>
  <w:style w:type="character" w:customStyle="1" w:styleId="a4">
    <w:name w:val="Верхний колонтитул Знак"/>
    <w:basedOn w:val="a0"/>
    <w:uiPriority w:val="99"/>
    <w:qFormat/>
    <w:rsid w:val="00E3079D"/>
  </w:style>
  <w:style w:type="character" w:styleId="a5">
    <w:name w:val="page number"/>
    <w:basedOn w:val="a0"/>
    <w:qFormat/>
  </w:style>
  <w:style w:type="character" w:customStyle="1" w:styleId="a6">
    <w:name w:val="Нижний колонтитул Знак"/>
    <w:basedOn w:val="a0"/>
    <w:uiPriority w:val="99"/>
    <w:qFormat/>
    <w:rsid w:val="0059287F"/>
  </w:style>
  <w:style w:type="character" w:customStyle="1" w:styleId="a7">
    <w:name w:val="Текст выноски Знак"/>
    <w:basedOn w:val="a0"/>
    <w:uiPriority w:val="99"/>
    <w:qFormat/>
    <w:rsid w:val="009D442B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qFormat/>
    <w:rsid w:val="00306B3C"/>
    <w:rPr>
      <w:b/>
      <w:bCs w:val="0"/>
      <w:color w:val="106BBE"/>
    </w:rPr>
  </w:style>
  <w:style w:type="character" w:styleId="a9">
    <w:name w:val="Hyperlink"/>
    <w:basedOn w:val="a0"/>
    <w:uiPriority w:val="99"/>
    <w:unhideWhenUsed/>
    <w:rsid w:val="00306B3C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"/>
    <w:qFormat/>
    <w:locked/>
    <w:rsid w:val="0059287F"/>
    <w:rPr>
      <w:rFonts w:ascii="Calibri" w:hAnsi="Calibri" w:cs="Calibri"/>
      <w:sz w:val="22"/>
    </w:rPr>
  </w:style>
  <w:style w:type="character" w:styleId="aa">
    <w:name w:val="Emphasis"/>
    <w:basedOn w:val="a0"/>
    <w:qFormat/>
    <w:rsid w:val="0059287F"/>
    <w:rPr>
      <w:i/>
      <w:iCs/>
    </w:rPr>
  </w:style>
  <w:style w:type="character" w:customStyle="1" w:styleId="3">
    <w:name w:val="Основной текст с отступом 3 Знак"/>
    <w:basedOn w:val="a0"/>
    <w:link w:val="30"/>
    <w:qFormat/>
    <w:rsid w:val="0059287F"/>
    <w:rPr>
      <w:sz w:val="16"/>
      <w:szCs w:val="16"/>
    </w:rPr>
  </w:style>
  <w:style w:type="character" w:customStyle="1" w:styleId="ab">
    <w:name w:val="Без интервала Знак"/>
    <w:uiPriority w:val="1"/>
    <w:qFormat/>
    <w:locked/>
    <w:rsid w:val="0059287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jc w:val="both"/>
    </w:pPr>
    <w:rPr>
      <w:sz w:val="24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pPr>
      <w:tabs>
        <w:tab w:val="center" w:pos="4153"/>
        <w:tab w:val="right" w:pos="8306"/>
      </w:tabs>
    </w:pPr>
  </w:style>
  <w:style w:type="paragraph" w:styleId="af0">
    <w:name w:val="footer"/>
    <w:basedOn w:val="a"/>
    <w:uiPriority w:val="99"/>
    <w:pPr>
      <w:tabs>
        <w:tab w:val="center" w:pos="4153"/>
        <w:tab w:val="right" w:pos="8306"/>
      </w:tabs>
    </w:pPr>
  </w:style>
  <w:style w:type="paragraph" w:styleId="af1">
    <w:name w:val="Balloon Text"/>
    <w:basedOn w:val="a"/>
    <w:uiPriority w:val="99"/>
    <w:qFormat/>
    <w:rsid w:val="009D442B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797B03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qFormat/>
    <w:rsid w:val="00306B3C"/>
    <w:pPr>
      <w:spacing w:beforeAutospacing="1" w:afterAutospacing="1"/>
    </w:pPr>
    <w:rPr>
      <w:sz w:val="24"/>
      <w:szCs w:val="24"/>
    </w:rPr>
  </w:style>
  <w:style w:type="paragraph" w:customStyle="1" w:styleId="ConsPlusNormal0">
    <w:name w:val="ConsPlusNormal"/>
    <w:qFormat/>
    <w:rsid w:val="00D61BA5"/>
    <w:pPr>
      <w:widowControl w:val="0"/>
    </w:pPr>
    <w:rPr>
      <w:rFonts w:ascii="Calibri" w:hAnsi="Calibri" w:cs="Calibri"/>
      <w:sz w:val="22"/>
    </w:rPr>
  </w:style>
  <w:style w:type="paragraph" w:customStyle="1" w:styleId="af3">
    <w:name w:val="Нормальный (таблица)"/>
    <w:basedOn w:val="a"/>
    <w:next w:val="a"/>
    <w:uiPriority w:val="99"/>
    <w:qFormat/>
    <w:rsid w:val="001D6AC6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30">
    <w:name w:val="Body Text Indent 3"/>
    <w:basedOn w:val="a"/>
    <w:link w:val="3"/>
    <w:unhideWhenUsed/>
    <w:qFormat/>
    <w:rsid w:val="0059287F"/>
    <w:pPr>
      <w:spacing w:after="120"/>
      <w:ind w:left="283"/>
    </w:pPr>
    <w:rPr>
      <w:sz w:val="16"/>
      <w:szCs w:val="16"/>
    </w:rPr>
  </w:style>
  <w:style w:type="paragraph" w:styleId="af4">
    <w:name w:val="No Spacing"/>
    <w:uiPriority w:val="1"/>
    <w:qFormat/>
    <w:rsid w:val="0059287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qFormat/>
    <w:rsid w:val="0059287F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p17">
    <w:name w:val="p17"/>
    <w:basedOn w:val="a"/>
    <w:qFormat/>
    <w:rsid w:val="0059287F"/>
    <w:pPr>
      <w:spacing w:beforeAutospacing="1" w:afterAutospacing="1"/>
    </w:pPr>
    <w:rPr>
      <w:sz w:val="24"/>
      <w:szCs w:val="24"/>
    </w:rPr>
  </w:style>
  <w:style w:type="paragraph" w:customStyle="1" w:styleId="ConsPlusTitle">
    <w:name w:val="ConsPlusTitle"/>
    <w:qFormat/>
    <w:rsid w:val="0059287F"/>
    <w:pPr>
      <w:widowControl w:val="0"/>
    </w:pPr>
    <w:rPr>
      <w:rFonts w:ascii="Calibri" w:hAnsi="Calibri" w:cs="Calibri"/>
      <w:b/>
      <w:sz w:val="22"/>
    </w:rPr>
  </w:style>
  <w:style w:type="paragraph" w:customStyle="1" w:styleId="4">
    <w:name w:val="Знак Знак4 Знак Знак Знак Знак"/>
    <w:basedOn w:val="a"/>
    <w:qFormat/>
    <w:rsid w:val="002B14CE"/>
    <w:pPr>
      <w:spacing w:after="160" w:line="240" w:lineRule="exact"/>
    </w:pPr>
    <w:rPr>
      <w:rFonts w:ascii="Verdana" w:hAnsi="Verdana"/>
      <w:lang w:val="en-US" w:eastAsia="en-US"/>
    </w:rPr>
  </w:style>
  <w:style w:type="table" w:styleId="af5">
    <w:name w:val="Table Grid"/>
    <w:basedOn w:val="a1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5D80E-6D0F-4099-97AC-E3829ACC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46</Pages>
  <Words>11707</Words>
  <Characters>66732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78283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2025-10-28T03:07:00Z</cp:lastPrinted>
  <dcterms:created xsi:type="dcterms:W3CDTF">2025-11-21T08:34:00Z</dcterms:created>
  <dcterms:modified xsi:type="dcterms:W3CDTF">2025-11-21T09:00:00Z</dcterms:modified>
  <dc:language>ru-RU</dc:language>
</cp:coreProperties>
</file>